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C0CE7" w:rsidRDefault="0025106C" w:rsidP="00F37D7B">
      <w:pPr>
        <w:pStyle w:val="af2"/>
        <w:rPr>
          <w:color w:val="000000" w:themeColor="text1"/>
        </w:rPr>
      </w:pPr>
      <w:r w:rsidRPr="00CC0CE7">
        <w:rPr>
          <w:rFonts w:hint="eastAsia"/>
          <w:color w:val="000000" w:themeColor="text1"/>
        </w:rPr>
        <w:t>糾正案文</w:t>
      </w:r>
    </w:p>
    <w:p w:rsidR="00E25849" w:rsidRPr="00CC0CE7" w:rsidRDefault="0025106C" w:rsidP="00F231DC">
      <w:pPr>
        <w:pStyle w:val="1"/>
        <w:rPr>
          <w:color w:val="000000" w:themeColor="text1"/>
        </w:rPr>
      </w:pPr>
      <w:r w:rsidRPr="00CC0CE7">
        <w:rPr>
          <w:rFonts w:hint="eastAsia"/>
          <w:color w:val="000000" w:themeColor="text1"/>
        </w:rPr>
        <w:t>被糾正機關：</w:t>
      </w:r>
      <w:r w:rsidR="00DF1FDE" w:rsidRPr="00CC0CE7">
        <w:rPr>
          <w:rFonts w:hAnsi="標楷體" w:hint="eastAsia"/>
          <w:color w:val="000000" w:themeColor="text1"/>
        </w:rPr>
        <w:t>行政院環境保護署</w:t>
      </w:r>
      <w:r w:rsidRPr="00CC0CE7">
        <w:rPr>
          <w:rFonts w:hint="eastAsia"/>
          <w:color w:val="000000" w:themeColor="text1"/>
        </w:rPr>
        <w:t>。</w:t>
      </w:r>
    </w:p>
    <w:p w:rsidR="00E25849" w:rsidRPr="00CC0CE7" w:rsidRDefault="0025106C" w:rsidP="00DE42B9">
      <w:pPr>
        <w:pStyle w:val="1"/>
        <w:rPr>
          <w:color w:val="000000" w:themeColor="text1"/>
        </w:rPr>
      </w:pPr>
      <w:r w:rsidRPr="00CC0CE7">
        <w:rPr>
          <w:rFonts w:hint="eastAsia"/>
          <w:color w:val="000000" w:themeColor="text1"/>
        </w:rPr>
        <w:t>案　　　由：</w:t>
      </w:r>
      <w:r w:rsidR="00C03E81" w:rsidRPr="00CC0CE7">
        <w:rPr>
          <w:rFonts w:hint="eastAsia"/>
          <w:color w:val="000000" w:themeColor="text1"/>
        </w:rPr>
        <w:t>行政院環境保護署</w:t>
      </w:r>
      <w:r w:rsidR="00DF1FDE" w:rsidRPr="00CC0CE7">
        <w:rPr>
          <w:rFonts w:hint="eastAsia"/>
          <w:color w:val="000000" w:themeColor="text1"/>
        </w:rPr>
        <w:t>於91年實施第一</w:t>
      </w:r>
      <w:proofErr w:type="gramStart"/>
      <w:r w:rsidR="00DF1FDE" w:rsidRPr="00CC0CE7">
        <w:rPr>
          <w:rFonts w:hint="eastAsia"/>
          <w:color w:val="000000" w:themeColor="text1"/>
        </w:rPr>
        <w:t>波限塑</w:t>
      </w:r>
      <w:proofErr w:type="gramEnd"/>
      <w:r w:rsidR="00DF1FDE" w:rsidRPr="00CC0CE7">
        <w:rPr>
          <w:rFonts w:hint="eastAsia"/>
          <w:color w:val="000000" w:themeColor="text1"/>
        </w:rPr>
        <w:t>措施後，在塑膠袋減少使用量上雖有初步成果，</w:t>
      </w:r>
      <w:r w:rsidR="003B5167" w:rsidRPr="00CC0CE7">
        <w:rPr>
          <w:rFonts w:hint="eastAsia"/>
          <w:color w:val="000000" w:themeColor="text1"/>
        </w:rPr>
        <w:t>然</w:t>
      </w:r>
      <w:r w:rsidR="00DF1FDE" w:rsidRPr="00CC0CE7">
        <w:rPr>
          <w:rFonts w:hint="eastAsia"/>
          <w:color w:val="000000" w:themeColor="text1"/>
        </w:rPr>
        <w:t>其後該署以國人消費特性，於95年修正公告取消有店面餐飲業管制，放寬限</w:t>
      </w:r>
      <w:proofErr w:type="gramStart"/>
      <w:r w:rsidR="00DF1FDE" w:rsidRPr="00CC0CE7">
        <w:rPr>
          <w:rFonts w:hint="eastAsia"/>
          <w:color w:val="000000" w:themeColor="text1"/>
        </w:rPr>
        <w:t>塑</w:t>
      </w:r>
      <w:proofErr w:type="gramEnd"/>
      <w:r w:rsidR="00DF1FDE" w:rsidRPr="00CC0CE7">
        <w:rPr>
          <w:rFonts w:hint="eastAsia"/>
          <w:color w:val="000000" w:themeColor="text1"/>
        </w:rPr>
        <w:t>措施，未能持續以</w:t>
      </w:r>
      <w:r w:rsidR="00C03E81" w:rsidRPr="00CC0CE7">
        <w:rPr>
          <w:rFonts w:hint="eastAsia"/>
          <w:color w:val="000000" w:themeColor="text1"/>
        </w:rPr>
        <w:t>澈底</w:t>
      </w:r>
      <w:r w:rsidR="00DF1FDE" w:rsidRPr="00CC0CE7">
        <w:rPr>
          <w:rFonts w:hint="eastAsia"/>
          <w:color w:val="000000" w:themeColor="text1"/>
        </w:rPr>
        <w:t>改變民眾使用習慣，延宕塑膠袋禁用時程，顯有</w:t>
      </w:r>
      <w:proofErr w:type="gramStart"/>
      <w:r w:rsidR="00DF1FDE" w:rsidRPr="00CC0CE7">
        <w:rPr>
          <w:rFonts w:hint="eastAsia"/>
          <w:color w:val="000000" w:themeColor="text1"/>
        </w:rPr>
        <w:t>怠</w:t>
      </w:r>
      <w:proofErr w:type="gramEnd"/>
      <w:r w:rsidR="00DF1FDE" w:rsidRPr="00CC0CE7">
        <w:rPr>
          <w:rFonts w:hint="eastAsia"/>
          <w:color w:val="000000" w:themeColor="text1"/>
        </w:rPr>
        <w:t>失；</w:t>
      </w:r>
      <w:proofErr w:type="gramStart"/>
      <w:r w:rsidR="00DF1FDE" w:rsidRPr="00CC0CE7">
        <w:rPr>
          <w:rFonts w:hint="eastAsia"/>
          <w:color w:val="000000" w:themeColor="text1"/>
        </w:rPr>
        <w:t>再依近10年</w:t>
      </w:r>
      <w:proofErr w:type="gramEnd"/>
      <w:r w:rsidR="00DF1FDE" w:rsidRPr="00CC0CE7">
        <w:rPr>
          <w:rFonts w:hint="eastAsia"/>
          <w:color w:val="000000" w:themeColor="text1"/>
        </w:rPr>
        <w:t>國內塑膠袋使用量顯示，</w:t>
      </w:r>
      <w:proofErr w:type="gramStart"/>
      <w:r w:rsidR="00DF1FDE" w:rsidRPr="00CC0CE7">
        <w:rPr>
          <w:rFonts w:hint="eastAsia"/>
          <w:color w:val="000000" w:themeColor="text1"/>
        </w:rPr>
        <w:t>推動限塑源頭</w:t>
      </w:r>
      <w:proofErr w:type="gramEnd"/>
      <w:r w:rsidR="00DF1FDE" w:rsidRPr="00CC0CE7">
        <w:rPr>
          <w:rFonts w:hint="eastAsia"/>
          <w:color w:val="000000" w:themeColor="text1"/>
        </w:rPr>
        <w:t>減量多年，國內塑膠袋整體生產及使用量不減反增</w:t>
      </w:r>
      <w:r w:rsidR="003B5167" w:rsidRPr="00CC0CE7">
        <w:rPr>
          <w:rFonts w:hint="eastAsia"/>
          <w:color w:val="000000" w:themeColor="text1"/>
        </w:rPr>
        <w:t>；且</w:t>
      </w:r>
      <w:r w:rsidR="00DF1FDE" w:rsidRPr="00CC0CE7">
        <w:rPr>
          <w:rFonts w:hint="eastAsia"/>
          <w:color w:val="000000" w:themeColor="text1"/>
        </w:rPr>
        <w:t>推動塑膠產業轉型</w:t>
      </w:r>
      <w:r w:rsidR="00622FBF" w:rsidRPr="00CC0CE7">
        <w:rPr>
          <w:rFonts w:hint="eastAsia"/>
          <w:color w:val="000000" w:themeColor="text1"/>
        </w:rPr>
        <w:t>多年</w:t>
      </w:r>
      <w:r w:rsidR="00DF1FDE" w:rsidRPr="00CC0CE7">
        <w:rPr>
          <w:rFonts w:hint="eastAsia"/>
          <w:color w:val="000000" w:themeColor="text1"/>
        </w:rPr>
        <w:t>，迄未有普及適當替代品及業界尚待政府輔導轉型亟待解決，難辭執行不力之</w:t>
      </w:r>
      <w:proofErr w:type="gramStart"/>
      <w:r w:rsidR="00DF1FDE" w:rsidRPr="00CC0CE7">
        <w:rPr>
          <w:rFonts w:hint="eastAsia"/>
          <w:color w:val="000000" w:themeColor="text1"/>
        </w:rPr>
        <w:t>咎</w:t>
      </w:r>
      <w:proofErr w:type="gramEnd"/>
      <w:r w:rsidR="00622FBF" w:rsidRPr="00CC0CE7">
        <w:rPr>
          <w:rFonts w:hint="eastAsia"/>
          <w:color w:val="000000" w:themeColor="text1"/>
        </w:rPr>
        <w:t>。另</w:t>
      </w:r>
      <w:r w:rsidR="00DF1FDE" w:rsidRPr="00CC0CE7">
        <w:rPr>
          <w:rFonts w:hint="eastAsia"/>
          <w:color w:val="000000" w:themeColor="text1"/>
        </w:rPr>
        <w:t>因塑膠袋後端處理廠不足，缺乏回收誘因而廠商回收意願低，</w:t>
      </w:r>
      <w:proofErr w:type="gramStart"/>
      <w:r w:rsidR="00622FBF" w:rsidRPr="00CC0CE7">
        <w:rPr>
          <w:rFonts w:hint="eastAsia"/>
          <w:color w:val="000000" w:themeColor="text1"/>
        </w:rPr>
        <w:t>且</w:t>
      </w:r>
      <w:r w:rsidR="00DF1FDE" w:rsidRPr="00CC0CE7">
        <w:rPr>
          <w:rFonts w:hint="eastAsia"/>
          <w:color w:val="000000" w:themeColor="text1"/>
        </w:rPr>
        <w:t>限塑政策</w:t>
      </w:r>
      <w:proofErr w:type="gramEnd"/>
      <w:r w:rsidR="00DF1FDE" w:rsidRPr="00CC0CE7">
        <w:rPr>
          <w:rFonts w:hint="eastAsia"/>
          <w:color w:val="000000" w:themeColor="text1"/>
        </w:rPr>
        <w:t>源頭管制民眾使用上之闕漏</w:t>
      </w:r>
      <w:r w:rsidR="00D8008E" w:rsidRPr="00CC0CE7">
        <w:rPr>
          <w:rFonts w:hint="eastAsia"/>
          <w:color w:val="000000" w:themeColor="text1"/>
        </w:rPr>
        <w:t>及歷年宣導教育未能有效澈底改變</w:t>
      </w:r>
      <w:r w:rsidR="00D8008E" w:rsidRPr="00CC0CE7">
        <w:rPr>
          <w:color w:val="000000" w:themeColor="text1"/>
        </w:rPr>
        <w:t>民眾</w:t>
      </w:r>
      <w:r w:rsidR="00D8008E" w:rsidRPr="00CC0CE7">
        <w:rPr>
          <w:rFonts w:hint="eastAsia"/>
          <w:color w:val="000000" w:themeColor="text1"/>
        </w:rPr>
        <w:t>使用行為</w:t>
      </w:r>
      <w:r w:rsidR="00DF1FDE" w:rsidRPr="00CC0CE7">
        <w:rPr>
          <w:rFonts w:hint="eastAsia"/>
          <w:color w:val="000000" w:themeColor="text1"/>
        </w:rPr>
        <w:t>，使回收循環機制不</w:t>
      </w:r>
      <w:proofErr w:type="gramStart"/>
      <w:r w:rsidR="00DF1FDE" w:rsidRPr="00CC0CE7">
        <w:rPr>
          <w:rFonts w:hint="eastAsia"/>
          <w:color w:val="000000" w:themeColor="text1"/>
        </w:rPr>
        <w:t>健全，</w:t>
      </w:r>
      <w:proofErr w:type="gramEnd"/>
      <w:r w:rsidR="00DF1FDE" w:rsidRPr="00CC0CE7">
        <w:rPr>
          <w:rFonts w:hint="eastAsia"/>
          <w:color w:val="000000" w:themeColor="text1"/>
        </w:rPr>
        <w:t>亟待改善</w:t>
      </w:r>
      <w:r w:rsidR="00622FBF" w:rsidRPr="00CC0CE7">
        <w:rPr>
          <w:rFonts w:hint="eastAsia"/>
          <w:color w:val="000000" w:themeColor="text1"/>
        </w:rPr>
        <w:t>；又</w:t>
      </w:r>
      <w:r w:rsidR="00C03E81" w:rsidRPr="00CC0CE7">
        <w:rPr>
          <w:rFonts w:hint="eastAsia"/>
          <w:color w:val="000000" w:themeColor="text1"/>
        </w:rPr>
        <w:t>該</w:t>
      </w:r>
      <w:r w:rsidR="00DF1FDE" w:rsidRPr="00CC0CE7">
        <w:rPr>
          <w:rFonts w:hint="eastAsia"/>
          <w:color w:val="000000" w:themeColor="text1"/>
        </w:rPr>
        <w:t>署推動資源回收及垃圾強制分類多年，然地方縣市政府環保單位，有以當作一般垃圾丟棄或把民眾分類的回收物回收後，混雜以統包方式賣給回收業者，在垃圾分類及資源回收端之執行，</w:t>
      </w:r>
      <w:r w:rsidR="00C03E81" w:rsidRPr="00CC0CE7">
        <w:rPr>
          <w:rFonts w:hint="eastAsia"/>
          <w:color w:val="000000" w:themeColor="text1"/>
        </w:rPr>
        <w:t>背離</w:t>
      </w:r>
      <w:r w:rsidR="00DF1FDE" w:rsidRPr="00CC0CE7">
        <w:rPr>
          <w:rFonts w:hint="eastAsia"/>
          <w:color w:val="000000" w:themeColor="text1"/>
        </w:rPr>
        <w:t>我國多年推動之環保政策</w:t>
      </w:r>
      <w:r w:rsidRPr="00CC0CE7">
        <w:rPr>
          <w:rFonts w:hint="eastAsia"/>
          <w:color w:val="000000" w:themeColor="text1"/>
        </w:rPr>
        <w:t>，</w:t>
      </w:r>
      <w:proofErr w:type="gramStart"/>
      <w:r w:rsidR="00622FBF" w:rsidRPr="00CC0CE7">
        <w:rPr>
          <w:rFonts w:hint="eastAsia"/>
          <w:color w:val="000000" w:themeColor="text1"/>
        </w:rPr>
        <w:t>均</w:t>
      </w:r>
      <w:r w:rsidRPr="00CC0CE7">
        <w:rPr>
          <w:rFonts w:hint="eastAsia"/>
          <w:color w:val="000000" w:themeColor="text1"/>
        </w:rPr>
        <w:t>有違</w:t>
      </w:r>
      <w:proofErr w:type="gramEnd"/>
      <w:r w:rsidRPr="00CC0CE7">
        <w:rPr>
          <w:rFonts w:hint="eastAsia"/>
          <w:color w:val="000000" w:themeColor="text1"/>
        </w:rPr>
        <w:t>失</w:t>
      </w:r>
      <w:r w:rsidR="008B4841" w:rsidRPr="00CC0CE7">
        <w:rPr>
          <w:rFonts w:hAnsi="標楷體" w:hint="eastAsia"/>
          <w:color w:val="000000" w:themeColor="text1"/>
        </w:rPr>
        <w:t>，</w:t>
      </w:r>
      <w:proofErr w:type="gramStart"/>
      <w:r w:rsidR="008B4841" w:rsidRPr="00CC0CE7">
        <w:rPr>
          <w:rFonts w:hint="eastAsia"/>
          <w:color w:val="000000" w:themeColor="text1"/>
        </w:rPr>
        <w:t>爰</w:t>
      </w:r>
      <w:proofErr w:type="gramEnd"/>
      <w:r w:rsidR="008B4841" w:rsidRPr="00CC0CE7">
        <w:rPr>
          <w:rFonts w:hint="eastAsia"/>
          <w:color w:val="000000" w:themeColor="text1"/>
        </w:rPr>
        <w:t>依法提案糾正</w:t>
      </w:r>
      <w:r w:rsidRPr="00CC0CE7">
        <w:rPr>
          <w:rFonts w:hint="eastAsia"/>
          <w:color w:val="000000" w:themeColor="text1"/>
        </w:rPr>
        <w:t>。</w:t>
      </w:r>
    </w:p>
    <w:p w:rsidR="00E25849" w:rsidRPr="00CC0CE7"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C0CE7">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B7F0C" w:rsidRPr="00CC0CE7" w:rsidRDefault="00BB7F0C" w:rsidP="003A5B7B">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C0CE7">
        <w:rPr>
          <w:rFonts w:hint="eastAsia"/>
          <w:color w:val="000000" w:themeColor="text1"/>
        </w:rPr>
        <w:t>聯合國世界海洋日2018年主要焦點在預防塑膠污染和提出健康海洋方案，惟根據中研院研究指出，每年有800多萬噸「塑膠垃圾」被丟進海洋，包括塑膠杯、寶特瓶等1次性廢棄物，影響海域周邊環境，對生物、漁業等</w:t>
      </w:r>
      <w:r w:rsidRPr="00CC0CE7">
        <w:rPr>
          <w:rFonts w:hint="eastAsia"/>
          <w:color w:val="000000" w:themeColor="text1"/>
        </w:rPr>
        <w:lastRenderedPageBreak/>
        <w:t>造成嚴重影響，臺灣島被海洋垃圾包圍，</w:t>
      </w:r>
      <w:proofErr w:type="gramStart"/>
      <w:r w:rsidRPr="00CC0CE7">
        <w:rPr>
          <w:rFonts w:hint="eastAsia"/>
          <w:color w:val="000000" w:themeColor="text1"/>
        </w:rPr>
        <w:t>8成</w:t>
      </w:r>
      <w:proofErr w:type="gramEnd"/>
      <w:r w:rsidRPr="00CC0CE7">
        <w:rPr>
          <w:rFonts w:hint="eastAsia"/>
          <w:color w:val="000000" w:themeColor="text1"/>
        </w:rPr>
        <w:t>海域可見海漂垃圾，塑膠比</w:t>
      </w:r>
      <w:r w:rsidR="00C03E81" w:rsidRPr="00CC0CE7">
        <w:rPr>
          <w:rFonts w:hint="eastAsia"/>
          <w:color w:val="000000" w:themeColor="text1"/>
        </w:rPr>
        <w:t>率</w:t>
      </w:r>
      <w:r w:rsidRPr="00CC0CE7">
        <w:rPr>
          <w:rFonts w:hint="eastAsia"/>
          <w:color w:val="000000" w:themeColor="text1"/>
        </w:rPr>
        <w:t>達66.3％。</w:t>
      </w:r>
      <w:proofErr w:type="gramStart"/>
      <w:r w:rsidRPr="00CC0CE7">
        <w:rPr>
          <w:rFonts w:hint="eastAsia"/>
          <w:color w:val="000000" w:themeColor="text1"/>
        </w:rPr>
        <w:t>另</w:t>
      </w:r>
      <w:proofErr w:type="gramEnd"/>
      <w:r w:rsidRPr="00CC0CE7">
        <w:rPr>
          <w:rFonts w:hint="eastAsia"/>
          <w:color w:val="000000" w:themeColor="text1"/>
        </w:rPr>
        <w:t>，從國際編碼系統追塑膠垃圾來源國，海漂垃圾量最主要來源國為中國、越南（約占47.5%-63.7%），次之為臺灣、日本、韓國。</w:t>
      </w:r>
    </w:p>
    <w:p w:rsidR="00B83C6B" w:rsidRPr="00CC0CE7" w:rsidRDefault="00BB7F0C" w:rsidP="00BB7F0C">
      <w:pPr>
        <w:pStyle w:val="11"/>
        <w:ind w:left="680" w:firstLine="680"/>
        <w:rPr>
          <w:rFonts w:hAnsi="標楷體"/>
          <w:color w:val="000000" w:themeColor="text1"/>
          <w:spacing w:val="-6"/>
        </w:rPr>
      </w:pPr>
      <w:r w:rsidRPr="00CC0CE7">
        <w:rPr>
          <w:rFonts w:hint="eastAsia"/>
          <w:color w:val="000000" w:themeColor="text1"/>
        </w:rPr>
        <w:t>案經調閱行政院環境保護署（下稱環保署）、海洋委員會、行政院農業委員會、經濟部、</w:t>
      </w:r>
      <w:proofErr w:type="gramStart"/>
      <w:r w:rsidRPr="00CC0CE7">
        <w:rPr>
          <w:rFonts w:hint="eastAsia"/>
          <w:color w:val="000000" w:themeColor="text1"/>
        </w:rPr>
        <w:t>審計部等機關</w:t>
      </w:r>
      <w:proofErr w:type="gramEnd"/>
      <w:r w:rsidRPr="00CC0CE7">
        <w:rPr>
          <w:rFonts w:hint="eastAsia"/>
          <w:color w:val="000000" w:themeColor="text1"/>
        </w:rPr>
        <w:t>卷證資料；復於民國(下同)107年11月19日諮詢專家學者及環保團體；再分別於108年2月25日與同年月27日前往彰化縣王功漁港、宜蘭縣南方澳漁港履</w:t>
      </w:r>
      <w:proofErr w:type="gramStart"/>
      <w:r w:rsidRPr="00CC0CE7">
        <w:rPr>
          <w:rFonts w:hint="eastAsia"/>
          <w:color w:val="000000" w:themeColor="text1"/>
        </w:rPr>
        <w:t>勘</w:t>
      </w:r>
      <w:proofErr w:type="gramEnd"/>
      <w:r w:rsidRPr="00CC0CE7">
        <w:rPr>
          <w:rFonts w:hint="eastAsia"/>
          <w:color w:val="000000" w:themeColor="text1"/>
        </w:rPr>
        <w:t>。另於108年1月16日詢問案關人員調查發現，本案環保署違失</w:t>
      </w:r>
      <w:proofErr w:type="gramStart"/>
      <w:r w:rsidR="007666F5" w:rsidRPr="00CC0CE7">
        <w:rPr>
          <w:rFonts w:hint="eastAsia"/>
          <w:bCs/>
          <w:color w:val="000000" w:themeColor="text1"/>
        </w:rPr>
        <w:t>臚列如</w:t>
      </w:r>
      <w:proofErr w:type="gramEnd"/>
      <w:r w:rsidR="007666F5" w:rsidRPr="00CC0CE7">
        <w:rPr>
          <w:rFonts w:hint="eastAsia"/>
          <w:bCs/>
          <w:color w:val="000000" w:themeColor="text1"/>
        </w:rPr>
        <w:t>下</w:t>
      </w:r>
      <w:r w:rsidR="00B83C6B" w:rsidRPr="00CC0CE7">
        <w:rPr>
          <w:rFonts w:hAnsi="標楷體" w:hint="eastAsia"/>
          <w:color w:val="000000" w:themeColor="text1"/>
          <w:spacing w:val="-6"/>
        </w:rPr>
        <w:t>：</w:t>
      </w:r>
    </w:p>
    <w:p w:rsidR="00230B77" w:rsidRPr="00CC0CE7" w:rsidRDefault="00230B77" w:rsidP="00F77295">
      <w:pPr>
        <w:pStyle w:val="2"/>
        <w:numPr>
          <w:ilvl w:val="1"/>
          <w:numId w:val="1"/>
        </w:numPr>
        <w:spacing w:beforeLines="100" w:before="457"/>
        <w:ind w:left="709" w:hanging="709"/>
        <w:rPr>
          <w:b w:val="0"/>
          <w:color w:val="000000" w:themeColor="text1"/>
        </w:rPr>
      </w:pPr>
      <w:bookmarkStart w:id="41" w:name="_Toc421794870"/>
      <w:bookmarkStart w:id="42" w:name="_Toc422728952"/>
      <w:r w:rsidRPr="00CC0CE7">
        <w:rPr>
          <w:rFonts w:hint="eastAsia"/>
          <w:color w:val="000000" w:themeColor="text1"/>
        </w:rPr>
        <w:t>環保署於91年實施第一</w:t>
      </w:r>
      <w:proofErr w:type="gramStart"/>
      <w:r w:rsidRPr="00CC0CE7">
        <w:rPr>
          <w:rFonts w:hint="eastAsia"/>
          <w:color w:val="000000" w:themeColor="text1"/>
        </w:rPr>
        <w:t>波限塑</w:t>
      </w:r>
      <w:proofErr w:type="gramEnd"/>
      <w:r w:rsidRPr="00CC0CE7">
        <w:rPr>
          <w:rFonts w:hint="eastAsia"/>
          <w:color w:val="000000" w:themeColor="text1"/>
        </w:rPr>
        <w:t>措施後，在塑膠袋減少使用量上雖有初步成果，然</w:t>
      </w:r>
      <w:proofErr w:type="gramStart"/>
      <w:r w:rsidRPr="00CC0CE7">
        <w:rPr>
          <w:rFonts w:hint="eastAsia"/>
          <w:color w:val="000000" w:themeColor="text1"/>
        </w:rPr>
        <w:t>因限塑所採</w:t>
      </w:r>
      <w:proofErr w:type="gramEnd"/>
      <w:r w:rsidRPr="00CC0CE7">
        <w:rPr>
          <w:rFonts w:hint="eastAsia"/>
          <w:color w:val="000000" w:themeColor="text1"/>
        </w:rPr>
        <w:t>塑膠袋較厚，整體製造塑膠袋之塑膠用量是否因之減少及對環境影響，環保署並未考量。其後該署以國人消費特性，於95年修正公告取消有店面餐飲業管制，放寬限</w:t>
      </w:r>
      <w:proofErr w:type="gramStart"/>
      <w:r w:rsidRPr="00CC0CE7">
        <w:rPr>
          <w:rFonts w:hint="eastAsia"/>
          <w:color w:val="000000" w:themeColor="text1"/>
        </w:rPr>
        <w:t>塑</w:t>
      </w:r>
      <w:proofErr w:type="gramEnd"/>
      <w:r w:rsidRPr="00CC0CE7">
        <w:rPr>
          <w:rFonts w:hint="eastAsia"/>
          <w:color w:val="000000" w:themeColor="text1"/>
        </w:rPr>
        <w:t>措施，未能持續以</w:t>
      </w:r>
      <w:r w:rsidR="00C03E81" w:rsidRPr="00CC0CE7">
        <w:rPr>
          <w:rFonts w:hint="eastAsia"/>
          <w:color w:val="000000" w:themeColor="text1"/>
        </w:rPr>
        <w:t>澈底</w:t>
      </w:r>
      <w:r w:rsidRPr="00CC0CE7">
        <w:rPr>
          <w:rFonts w:hint="eastAsia"/>
          <w:color w:val="000000" w:themeColor="text1"/>
        </w:rPr>
        <w:t>改變民眾使用習慣，延宕塑膠袋禁用時程，顯有</w:t>
      </w:r>
      <w:proofErr w:type="gramStart"/>
      <w:r w:rsidRPr="00CC0CE7">
        <w:rPr>
          <w:rFonts w:hint="eastAsia"/>
          <w:color w:val="000000" w:themeColor="text1"/>
        </w:rPr>
        <w:t>怠</w:t>
      </w:r>
      <w:proofErr w:type="gramEnd"/>
      <w:r w:rsidRPr="00CC0CE7">
        <w:rPr>
          <w:rFonts w:hint="eastAsia"/>
          <w:color w:val="000000" w:themeColor="text1"/>
        </w:rPr>
        <w:t>失；</w:t>
      </w:r>
      <w:proofErr w:type="gramStart"/>
      <w:r w:rsidRPr="00CC0CE7">
        <w:rPr>
          <w:rFonts w:hint="eastAsia"/>
          <w:color w:val="000000" w:themeColor="text1"/>
        </w:rPr>
        <w:t>再依近10年</w:t>
      </w:r>
      <w:proofErr w:type="gramEnd"/>
      <w:r w:rsidRPr="00CC0CE7">
        <w:rPr>
          <w:rFonts w:hint="eastAsia"/>
          <w:color w:val="000000" w:themeColor="text1"/>
        </w:rPr>
        <w:t>國內塑膠袋使用量顯示，環保署在</w:t>
      </w:r>
      <w:proofErr w:type="gramStart"/>
      <w:r w:rsidRPr="00CC0CE7">
        <w:rPr>
          <w:rFonts w:hint="eastAsia"/>
          <w:color w:val="000000" w:themeColor="text1"/>
        </w:rPr>
        <w:t>推動限塑源頭</w:t>
      </w:r>
      <w:proofErr w:type="gramEnd"/>
      <w:r w:rsidRPr="00CC0CE7">
        <w:rPr>
          <w:rFonts w:hint="eastAsia"/>
          <w:color w:val="000000" w:themeColor="text1"/>
        </w:rPr>
        <w:t>減量多年，國內塑膠袋整體生產及使用量不減反增，破壞生態；與此同時，國際間許多國家或城市，在</w:t>
      </w:r>
      <w:proofErr w:type="gramStart"/>
      <w:r w:rsidRPr="00CC0CE7">
        <w:rPr>
          <w:rFonts w:hint="eastAsia"/>
          <w:color w:val="000000" w:themeColor="text1"/>
        </w:rPr>
        <w:t>限塑上</w:t>
      </w:r>
      <w:proofErr w:type="gramEnd"/>
      <w:r w:rsidRPr="00CC0CE7">
        <w:rPr>
          <w:rFonts w:hint="eastAsia"/>
          <w:color w:val="000000" w:themeColor="text1"/>
        </w:rPr>
        <w:t>已紛紛</w:t>
      </w:r>
      <w:proofErr w:type="gramStart"/>
      <w:r w:rsidRPr="00CC0CE7">
        <w:rPr>
          <w:rFonts w:hint="eastAsia"/>
          <w:color w:val="000000" w:themeColor="text1"/>
        </w:rPr>
        <w:t>採</w:t>
      </w:r>
      <w:proofErr w:type="gramEnd"/>
      <w:r w:rsidRPr="00CC0CE7">
        <w:rPr>
          <w:rFonts w:hint="eastAsia"/>
          <w:color w:val="000000" w:themeColor="text1"/>
        </w:rPr>
        <w:t>行較我國更積極的具體限制措施。另環保署自91年推動塑膠產業轉型已長達17年，迄今商家販售未有普及適當替代品及業界尚待政府輔導轉型之困境亟待解決，</w:t>
      </w:r>
      <w:proofErr w:type="gramStart"/>
      <w:r w:rsidRPr="00CC0CE7">
        <w:rPr>
          <w:rFonts w:hint="eastAsia"/>
          <w:color w:val="000000" w:themeColor="text1"/>
        </w:rPr>
        <w:t>限塑政策</w:t>
      </w:r>
      <w:proofErr w:type="gramEnd"/>
      <w:r w:rsidRPr="00CC0CE7">
        <w:rPr>
          <w:rFonts w:hint="eastAsia"/>
          <w:color w:val="000000" w:themeColor="text1"/>
        </w:rPr>
        <w:t>推動多年，</w:t>
      </w:r>
      <w:proofErr w:type="gramStart"/>
      <w:r w:rsidRPr="00CC0CE7">
        <w:rPr>
          <w:rFonts w:hint="eastAsia"/>
          <w:color w:val="000000" w:themeColor="text1"/>
        </w:rPr>
        <w:t>仍乏相關</w:t>
      </w:r>
      <w:proofErr w:type="gramEnd"/>
      <w:r w:rsidRPr="00CC0CE7">
        <w:rPr>
          <w:rFonts w:hint="eastAsia"/>
          <w:color w:val="000000" w:themeColor="text1"/>
        </w:rPr>
        <w:t>配套，難辭執行不力之</w:t>
      </w:r>
      <w:proofErr w:type="gramStart"/>
      <w:r w:rsidRPr="00CC0CE7">
        <w:rPr>
          <w:rFonts w:hint="eastAsia"/>
          <w:color w:val="000000" w:themeColor="text1"/>
        </w:rPr>
        <w:t>咎</w:t>
      </w:r>
      <w:proofErr w:type="gramEnd"/>
    </w:p>
    <w:p w:rsidR="00230B77" w:rsidRPr="00CC0CE7" w:rsidRDefault="00230B77" w:rsidP="00230B77">
      <w:pPr>
        <w:pStyle w:val="3"/>
        <w:numPr>
          <w:ilvl w:val="2"/>
          <w:numId w:val="1"/>
        </w:numPr>
        <w:rPr>
          <w:color w:val="000000" w:themeColor="text1"/>
        </w:rPr>
      </w:pPr>
      <w:r w:rsidRPr="00CC0CE7">
        <w:rPr>
          <w:rFonts w:hint="eastAsia"/>
          <w:color w:val="000000" w:themeColor="text1"/>
        </w:rPr>
        <w:t>依據廢棄物清理法</w:t>
      </w:r>
      <w:proofErr w:type="gramStart"/>
      <w:r w:rsidRPr="00CC0CE7">
        <w:rPr>
          <w:rFonts w:hint="eastAsia"/>
          <w:color w:val="000000" w:themeColor="text1"/>
        </w:rPr>
        <w:t>（</w:t>
      </w:r>
      <w:proofErr w:type="gramEnd"/>
      <w:r w:rsidRPr="00CC0CE7">
        <w:rPr>
          <w:rFonts w:hint="eastAsia"/>
          <w:color w:val="000000" w:themeColor="text1"/>
        </w:rPr>
        <w:t>修正日期：90年10月24日</w:t>
      </w:r>
      <w:proofErr w:type="gramStart"/>
      <w:r w:rsidRPr="00CC0CE7">
        <w:rPr>
          <w:rFonts w:hint="eastAsia"/>
          <w:color w:val="000000" w:themeColor="text1"/>
        </w:rPr>
        <w:t>）</w:t>
      </w:r>
      <w:proofErr w:type="gramEnd"/>
      <w:r w:rsidRPr="00CC0CE7">
        <w:rPr>
          <w:rFonts w:hint="eastAsia"/>
          <w:color w:val="000000" w:themeColor="text1"/>
        </w:rPr>
        <w:t>第21條規定：「物品或其包裝、容器有嚴重污染環境之虞者，中央主管機關得予以公告禁用或限制製造、輸入、販賣、使用。」</w:t>
      </w:r>
      <w:proofErr w:type="gramStart"/>
      <w:r w:rsidRPr="00CC0CE7">
        <w:rPr>
          <w:rFonts w:hint="eastAsia"/>
          <w:color w:val="000000" w:themeColor="text1"/>
        </w:rPr>
        <w:t>爰</w:t>
      </w:r>
      <w:proofErr w:type="gramEnd"/>
      <w:r w:rsidRPr="00CC0CE7">
        <w:rPr>
          <w:rFonts w:hint="eastAsia"/>
          <w:color w:val="000000" w:themeColor="text1"/>
        </w:rPr>
        <w:t>環保署於91年4月22日公告訂定「購物用塑膠袋及塑膠類（含保麗龍）免洗餐</w:t>
      </w:r>
      <w:r w:rsidRPr="00CC0CE7">
        <w:rPr>
          <w:rFonts w:hint="eastAsia"/>
          <w:color w:val="000000" w:themeColor="text1"/>
        </w:rPr>
        <w:lastRenderedPageBreak/>
        <w:t>具第一批限制使用對象、實施方式及實施日期」，95年修訂為「購物用塑膠袋限制使用對象、實施方式及實施日期」。另按立法院第4屆第6會期第3次會議修正廢棄物清理法時，通過6項附帶決議略</w:t>
      </w:r>
      <w:proofErr w:type="gramStart"/>
      <w:r w:rsidRPr="00CC0CE7">
        <w:rPr>
          <w:rFonts w:hint="eastAsia"/>
          <w:color w:val="000000" w:themeColor="text1"/>
        </w:rPr>
        <w:t>以</w:t>
      </w:r>
      <w:proofErr w:type="gramEnd"/>
      <w:r w:rsidRPr="00CC0CE7">
        <w:rPr>
          <w:rFonts w:hint="eastAsia"/>
          <w:color w:val="000000" w:themeColor="text1"/>
        </w:rPr>
        <w:t>：「一、針對有嚴重污染環境之虞之物品或包裝、容器，環保署應於本法修正通過後3個月內完成評估；6個月內予以公告並分階段限制使用，如塑膠袋、保麗龍、免洗餐具、有關塑膠</w:t>
      </w:r>
      <w:proofErr w:type="gramStart"/>
      <w:r w:rsidRPr="00CC0CE7">
        <w:rPr>
          <w:rFonts w:hint="eastAsia"/>
          <w:color w:val="000000" w:themeColor="text1"/>
        </w:rPr>
        <w:t>類之紙尿</w:t>
      </w:r>
      <w:proofErr w:type="gramEnd"/>
      <w:r w:rsidRPr="00CC0CE7">
        <w:rPr>
          <w:rFonts w:hint="eastAsia"/>
          <w:color w:val="000000" w:themeColor="text1"/>
        </w:rPr>
        <w:t>褲內襯、農業</w:t>
      </w:r>
      <w:proofErr w:type="gramStart"/>
      <w:r w:rsidRPr="00CC0CE7">
        <w:rPr>
          <w:rFonts w:hint="eastAsia"/>
          <w:color w:val="000000" w:themeColor="text1"/>
        </w:rPr>
        <w:t>披覆膜</w:t>
      </w:r>
      <w:proofErr w:type="gramEnd"/>
      <w:r w:rsidRPr="00CC0CE7">
        <w:rPr>
          <w:rFonts w:hint="eastAsia"/>
          <w:color w:val="000000" w:themeColor="text1"/>
        </w:rPr>
        <w:t>及培養袋等。…</w:t>
      </w:r>
      <w:proofErr w:type="gramStart"/>
      <w:r w:rsidRPr="00CC0CE7">
        <w:rPr>
          <w:rFonts w:hint="eastAsia"/>
          <w:color w:val="000000" w:themeColor="text1"/>
        </w:rPr>
        <w:t>…</w:t>
      </w:r>
      <w:proofErr w:type="gramEnd"/>
      <w:r w:rsidRPr="00CC0CE7">
        <w:rPr>
          <w:rFonts w:hint="eastAsia"/>
          <w:color w:val="000000" w:themeColor="text1"/>
        </w:rPr>
        <w:t>環保署應儘速訂定時間表，將保麗龍、塑膠袋逐步禁用，並確實落實執行…</w:t>
      </w:r>
      <w:proofErr w:type="gramStart"/>
      <w:r w:rsidRPr="00CC0CE7">
        <w:rPr>
          <w:rFonts w:hint="eastAsia"/>
          <w:color w:val="000000" w:themeColor="text1"/>
        </w:rPr>
        <w:t>…</w:t>
      </w:r>
      <w:proofErr w:type="gramEnd"/>
      <w:r w:rsidRPr="00CC0CE7">
        <w:rPr>
          <w:rFonts w:hint="eastAsia"/>
          <w:color w:val="000000" w:themeColor="text1"/>
        </w:rPr>
        <w:t>」</w:t>
      </w:r>
      <w:r w:rsidRPr="00CC0CE7">
        <w:rPr>
          <w:rStyle w:val="afc"/>
          <w:color w:val="000000" w:themeColor="text1"/>
        </w:rPr>
        <w:footnoteReference w:id="1"/>
      </w:r>
      <w:r w:rsidRPr="00CC0CE7">
        <w:rPr>
          <w:rFonts w:hint="eastAsia"/>
          <w:color w:val="000000" w:themeColor="text1"/>
          <w:vertAlign w:val="superscript"/>
        </w:rPr>
        <w:t>、</w:t>
      </w:r>
      <w:r w:rsidRPr="00CC0CE7">
        <w:rPr>
          <w:rStyle w:val="afc"/>
          <w:color w:val="000000" w:themeColor="text1"/>
        </w:rPr>
        <w:footnoteReference w:id="2"/>
      </w:r>
      <w:r w:rsidRPr="00CC0CE7">
        <w:rPr>
          <w:rFonts w:hint="eastAsia"/>
          <w:color w:val="000000" w:themeColor="text1"/>
        </w:rPr>
        <w:t>。</w:t>
      </w:r>
    </w:p>
    <w:p w:rsidR="00230B77" w:rsidRPr="00CC0CE7" w:rsidRDefault="00230B77" w:rsidP="00230B77">
      <w:pPr>
        <w:pStyle w:val="3"/>
        <w:numPr>
          <w:ilvl w:val="2"/>
          <w:numId w:val="1"/>
        </w:numPr>
        <w:rPr>
          <w:color w:val="000000" w:themeColor="text1"/>
        </w:rPr>
      </w:pPr>
      <w:r w:rsidRPr="00CC0CE7">
        <w:rPr>
          <w:rFonts w:hint="eastAsia"/>
          <w:color w:val="000000" w:themeColor="text1"/>
        </w:rPr>
        <w:t>經查環保署於91年6、7月間分別公告購物用塑膠袋及塑膠類（含保麗龍）免洗餐具第一批及第二批</w:t>
      </w:r>
      <w:bookmarkStart w:id="43" w:name="_GoBack"/>
      <w:bookmarkEnd w:id="43"/>
      <w:r w:rsidRPr="00CC0CE7">
        <w:rPr>
          <w:rFonts w:hint="eastAsia"/>
          <w:color w:val="000000" w:themeColor="text1"/>
        </w:rPr>
        <w:t>限制使用措施，93年7月公告購物用塑膠袋及塑膠類（含保麗龍）免洗餐具限制使用措施；95年6月分別公告購物用塑膠袋限制使用及免洗餐具限制使用措施。前開91年間限制措施管制對象包括公部門、私立學校、百貨公司及購物中心、量販店、超級市場、連鎖便利商店、連鎖速食店等7大業別；不得提供厚度小於0.06公釐的購物用塑膠袋，厚度大於0.06公釐者應付費取得。據環保署表示</w:t>
      </w:r>
      <w:r w:rsidRPr="00CC0CE7">
        <w:rPr>
          <w:rStyle w:val="afc"/>
          <w:color w:val="000000" w:themeColor="text1"/>
        </w:rPr>
        <w:footnoteReference w:id="3"/>
      </w:r>
      <w:r w:rsidRPr="00CC0CE7">
        <w:rPr>
          <w:rFonts w:hint="eastAsia"/>
          <w:color w:val="000000" w:themeColor="text1"/>
        </w:rPr>
        <w:t>：「經91年第一波管制公部門、私立學校、百貨公司及購物中心、量販店、超級市場、連鎖便利商店、連鎖速食店，透過以量制價改變民眾生活習慣，管制對象塑膠袋使用量由每年34.35億個減少至14.3億個，減少20.05億個塑膠袋使用量，其後考量國人消費特</w:t>
      </w:r>
      <w:r w:rsidRPr="00CC0CE7">
        <w:rPr>
          <w:rFonts w:hint="eastAsia"/>
          <w:color w:val="000000" w:themeColor="text1"/>
        </w:rPr>
        <w:lastRenderedPageBreak/>
        <w:t>性，民眾於有店面餐飲業消費確有使用塑膠袋裝提外帶食物之必要，95年修正公告取消有店面餐飲業管制。」該署另於106年8月修正公告，新增「藥</w:t>
      </w:r>
      <w:proofErr w:type="gramStart"/>
      <w:r w:rsidRPr="00CC0CE7">
        <w:rPr>
          <w:rFonts w:hint="eastAsia"/>
          <w:color w:val="000000" w:themeColor="text1"/>
        </w:rPr>
        <w:t>粧</w:t>
      </w:r>
      <w:proofErr w:type="gramEnd"/>
      <w:r w:rsidRPr="00CC0CE7">
        <w:rPr>
          <w:rFonts w:hint="eastAsia"/>
          <w:color w:val="000000" w:themeColor="text1"/>
        </w:rPr>
        <w:t>店、美</w:t>
      </w:r>
      <w:proofErr w:type="gramStart"/>
      <w:r w:rsidRPr="00CC0CE7">
        <w:rPr>
          <w:rFonts w:hint="eastAsia"/>
          <w:color w:val="000000" w:themeColor="text1"/>
        </w:rPr>
        <w:t>粧</w:t>
      </w:r>
      <w:proofErr w:type="gramEnd"/>
      <w:r w:rsidRPr="00CC0CE7">
        <w:rPr>
          <w:rFonts w:hint="eastAsia"/>
          <w:color w:val="000000" w:themeColor="text1"/>
        </w:rPr>
        <w:t>店及藥局」、「醫療器材行」、「家電攝影、資訊及通訊設備零售業」、「書籍及文具零售業」、「洗衣店業」、「</w:t>
      </w:r>
      <w:proofErr w:type="gramStart"/>
      <w:r w:rsidRPr="00CC0CE7">
        <w:rPr>
          <w:rFonts w:hint="eastAsia"/>
          <w:color w:val="000000" w:themeColor="text1"/>
        </w:rPr>
        <w:t>飲料店業</w:t>
      </w:r>
      <w:proofErr w:type="gramEnd"/>
      <w:r w:rsidRPr="00CC0CE7">
        <w:rPr>
          <w:rFonts w:hint="eastAsia"/>
          <w:color w:val="000000" w:themeColor="text1"/>
        </w:rPr>
        <w:t>」及「西點麵包店業」等7大類限制使用對象，管制對象由2萬家增加至10萬家，除維持不得免費提供規定外，增加管制所有塑膠材質（含生物可分解塑膠），並取消厚度0.06公釐之限制。</w:t>
      </w:r>
    </w:p>
    <w:p w:rsidR="00230B77" w:rsidRPr="00CC0CE7" w:rsidRDefault="00230B77" w:rsidP="00230B77">
      <w:pPr>
        <w:pStyle w:val="3"/>
        <w:numPr>
          <w:ilvl w:val="2"/>
          <w:numId w:val="1"/>
        </w:numPr>
        <w:rPr>
          <w:color w:val="000000" w:themeColor="text1"/>
        </w:rPr>
      </w:pPr>
      <w:r w:rsidRPr="00CC0CE7">
        <w:rPr>
          <w:rFonts w:hint="eastAsia"/>
          <w:color w:val="000000" w:themeColor="text1"/>
        </w:rPr>
        <w:t>有關環保署91年3月之「購物用塑膠袋及塑膠類（含保麗龍）免洗餐具之限用政策」，其政策內容、配套措施、產業轉型等情，本院前於91年立案調查，依據該報告調查意見第七點：「環保署以厚度0.06公釐作為購物用塑膠袋限制使用之標準，是否反使塑膠垃圾增加，環保署宜確實瞭解，妥為因應。」內容指出：「查目前賣場中(包括超級市場與便利商店等)主要購物用塑膠袋材質以高密度聚乙烯(HDPE)為主，一般厚度多介於0.02至0.05公釐間，…</w:t>
      </w:r>
      <w:proofErr w:type="gramStart"/>
      <w:r w:rsidRPr="00CC0CE7">
        <w:rPr>
          <w:rFonts w:hint="eastAsia"/>
          <w:color w:val="000000" w:themeColor="text1"/>
        </w:rPr>
        <w:t>…</w:t>
      </w:r>
      <w:proofErr w:type="gramEnd"/>
      <w:r w:rsidRPr="00CC0CE7">
        <w:rPr>
          <w:rFonts w:hint="eastAsia"/>
          <w:color w:val="000000" w:themeColor="text1"/>
        </w:rPr>
        <w:t>；若以低密度聚乙烯(LDPE)製作之塑膠袋通常較厚(0.07至0.1公釐間)，…</w:t>
      </w:r>
      <w:proofErr w:type="gramStart"/>
      <w:r w:rsidRPr="00CC0CE7">
        <w:rPr>
          <w:rFonts w:hint="eastAsia"/>
          <w:color w:val="000000" w:themeColor="text1"/>
        </w:rPr>
        <w:t>…</w:t>
      </w:r>
      <w:proofErr w:type="gramEnd"/>
      <w:r w:rsidRPr="00CC0CE7">
        <w:rPr>
          <w:rFonts w:hint="eastAsia"/>
          <w:color w:val="000000" w:themeColor="text1"/>
        </w:rPr>
        <w:t>。」、「…</w:t>
      </w:r>
      <w:proofErr w:type="gramStart"/>
      <w:r w:rsidRPr="00CC0CE7">
        <w:rPr>
          <w:rFonts w:hint="eastAsia"/>
          <w:color w:val="000000" w:themeColor="text1"/>
        </w:rPr>
        <w:t>…</w:t>
      </w:r>
      <w:proofErr w:type="gramEnd"/>
      <w:r w:rsidRPr="00CC0CE7">
        <w:rPr>
          <w:rFonts w:hint="eastAsia"/>
          <w:color w:val="000000" w:themeColor="text1"/>
        </w:rPr>
        <w:t>為減少對於塑膠袋製造業者衝擊、考量塑膠袋製程限制(一般HDPE</w:t>
      </w:r>
      <w:proofErr w:type="gramStart"/>
      <w:r w:rsidRPr="00CC0CE7">
        <w:rPr>
          <w:rFonts w:hint="eastAsia"/>
          <w:color w:val="000000" w:themeColor="text1"/>
        </w:rPr>
        <w:t>吹膜機吹膜</w:t>
      </w:r>
      <w:proofErr w:type="gramEnd"/>
      <w:r w:rsidRPr="00CC0CE7">
        <w:rPr>
          <w:rFonts w:hint="eastAsia"/>
          <w:color w:val="000000" w:themeColor="text1"/>
        </w:rPr>
        <w:t>極限為0.07公釐)與結帳時計價使用所需(即購物袋供應成本需達目前最低貨幣單位價值，</w:t>
      </w:r>
      <w:proofErr w:type="gramStart"/>
      <w:r w:rsidRPr="00CC0CE7">
        <w:rPr>
          <w:rFonts w:hint="eastAsia"/>
          <w:color w:val="000000" w:themeColor="text1"/>
        </w:rPr>
        <w:t>約新臺幣</w:t>
      </w:r>
      <w:proofErr w:type="gramEnd"/>
      <w:r w:rsidRPr="00CC0CE7">
        <w:rPr>
          <w:rFonts w:hint="eastAsia"/>
          <w:color w:val="000000" w:themeColor="text1"/>
        </w:rPr>
        <w:t>1元左右)經評估分析，以0.06公釐作為現階段購物用塑膠袋管制厚度標準。」及「…</w:t>
      </w:r>
      <w:proofErr w:type="gramStart"/>
      <w:r w:rsidRPr="00CC0CE7">
        <w:rPr>
          <w:rFonts w:hint="eastAsia"/>
          <w:color w:val="000000" w:themeColor="text1"/>
        </w:rPr>
        <w:t>…</w:t>
      </w:r>
      <w:proofErr w:type="gramEnd"/>
      <w:r w:rsidRPr="00CC0CE7">
        <w:rPr>
          <w:rFonts w:hint="eastAsia"/>
          <w:color w:val="000000" w:themeColor="text1"/>
        </w:rPr>
        <w:t>倘多數消費者能配合減少或重複使用塑膠袋，其厚度雖增加，然棄置量卻減少，自難認為塑膠垃圾將增量。</w:t>
      </w:r>
      <w:proofErr w:type="gramStart"/>
      <w:r w:rsidRPr="00CC0CE7">
        <w:rPr>
          <w:rFonts w:hint="eastAsia"/>
          <w:color w:val="000000" w:themeColor="text1"/>
        </w:rPr>
        <w:t>反之，</w:t>
      </w:r>
      <w:proofErr w:type="gramEnd"/>
      <w:r w:rsidRPr="00CC0CE7">
        <w:rPr>
          <w:rFonts w:hint="eastAsia"/>
          <w:color w:val="000000" w:themeColor="text1"/>
        </w:rPr>
        <w:t>若消費者配合減少或重複使用塑膠袋之成效不佳，塑膠垃圾量勢必增加，</w:t>
      </w:r>
      <w:proofErr w:type="gramStart"/>
      <w:r w:rsidRPr="00CC0CE7">
        <w:rPr>
          <w:rFonts w:hint="eastAsia"/>
          <w:color w:val="000000" w:themeColor="text1"/>
        </w:rPr>
        <w:t>爰</w:t>
      </w:r>
      <w:proofErr w:type="gramEnd"/>
      <w:r w:rsidRPr="00CC0CE7">
        <w:rPr>
          <w:rFonts w:hint="eastAsia"/>
          <w:color w:val="000000" w:themeColor="text1"/>
        </w:rPr>
        <w:t>此。</w:t>
      </w:r>
      <w:proofErr w:type="gramStart"/>
      <w:r w:rsidRPr="00CC0CE7">
        <w:rPr>
          <w:rFonts w:hint="eastAsia"/>
          <w:color w:val="000000" w:themeColor="text1"/>
        </w:rPr>
        <w:t>該署宜</w:t>
      </w:r>
      <w:r w:rsidRPr="00CC0CE7">
        <w:rPr>
          <w:rFonts w:hint="eastAsia"/>
          <w:color w:val="000000" w:themeColor="text1"/>
        </w:rPr>
        <w:lastRenderedPageBreak/>
        <w:t>持續</w:t>
      </w:r>
      <w:proofErr w:type="gramEnd"/>
      <w:r w:rsidRPr="00CC0CE7">
        <w:rPr>
          <w:rFonts w:hint="eastAsia"/>
          <w:color w:val="000000" w:themeColor="text1"/>
        </w:rPr>
        <w:t>密切觀察塑膠垃圾量是否增加並妥善因應。」</w:t>
      </w:r>
    </w:p>
    <w:p w:rsidR="00230B77" w:rsidRPr="00CC0CE7" w:rsidRDefault="00230B77" w:rsidP="00230B77">
      <w:pPr>
        <w:pStyle w:val="3"/>
        <w:numPr>
          <w:ilvl w:val="2"/>
          <w:numId w:val="1"/>
        </w:numPr>
        <w:spacing w:afterLines="50" w:after="228"/>
        <w:ind w:left="1360" w:hanging="680"/>
        <w:rPr>
          <w:color w:val="000000" w:themeColor="text1"/>
        </w:rPr>
      </w:pPr>
      <w:r w:rsidRPr="00CC0CE7">
        <w:rPr>
          <w:rFonts w:hint="eastAsia"/>
          <w:color w:val="000000" w:themeColor="text1"/>
        </w:rPr>
        <w:t>然依經濟部統計自97年迄至106年，近10年間，國內有關「</w:t>
      </w:r>
      <w:proofErr w:type="gramStart"/>
      <w:r w:rsidRPr="00CC0CE7">
        <w:rPr>
          <w:rFonts w:hint="eastAsia"/>
          <w:color w:val="000000" w:themeColor="text1"/>
        </w:rPr>
        <w:t>塑膠膜袋製造業</w:t>
      </w:r>
      <w:proofErr w:type="gramEnd"/>
      <w:r w:rsidRPr="00CC0CE7">
        <w:rPr>
          <w:rFonts w:hint="eastAsia"/>
          <w:color w:val="000000" w:themeColor="text1"/>
        </w:rPr>
        <w:t>」生產量及銷售量如下：</w:t>
      </w:r>
    </w:p>
    <w:p w:rsidR="00230B77" w:rsidRPr="00CC0CE7" w:rsidRDefault="00230B77" w:rsidP="00230B77">
      <w:pPr>
        <w:pStyle w:val="30"/>
        <w:numPr>
          <w:ilvl w:val="0"/>
          <w:numId w:val="0"/>
        </w:numPr>
        <w:ind w:left="703"/>
        <w:rPr>
          <w:color w:val="000000" w:themeColor="text1"/>
        </w:rPr>
      </w:pPr>
      <w:r w:rsidRPr="00CC0CE7">
        <w:rPr>
          <w:rFonts w:hint="eastAsia"/>
          <w:color w:val="000000" w:themeColor="text1"/>
        </w:rPr>
        <w:t>97-106年歷年國內塑膠製品生產量及銷售量統計如下表：</w:t>
      </w:r>
    </w:p>
    <w:tbl>
      <w:tblPr>
        <w:tblStyle w:val="22"/>
        <w:tblW w:w="6040" w:type="pct"/>
        <w:jc w:val="center"/>
        <w:tblLayout w:type="fixed"/>
        <w:tblCellMar>
          <w:left w:w="57" w:type="dxa"/>
          <w:right w:w="57" w:type="dxa"/>
        </w:tblCellMar>
        <w:tblLook w:val="04A0" w:firstRow="1" w:lastRow="0" w:firstColumn="1" w:lastColumn="0" w:noHBand="0" w:noVBand="1"/>
      </w:tblPr>
      <w:tblGrid>
        <w:gridCol w:w="556"/>
        <w:gridCol w:w="841"/>
        <w:gridCol w:w="860"/>
        <w:gridCol w:w="841"/>
        <w:gridCol w:w="841"/>
        <w:gridCol w:w="843"/>
        <w:gridCol w:w="841"/>
        <w:gridCol w:w="843"/>
        <w:gridCol w:w="841"/>
        <w:gridCol w:w="841"/>
        <w:gridCol w:w="843"/>
        <w:gridCol w:w="841"/>
        <w:gridCol w:w="839"/>
      </w:tblGrid>
      <w:tr w:rsidR="003E1A28" w:rsidRPr="00CC0CE7" w:rsidTr="00B8514E">
        <w:trPr>
          <w:trHeight w:val="312"/>
          <w:tblHeader/>
          <w:jc w:val="center"/>
        </w:trPr>
        <w:tc>
          <w:tcPr>
            <w:tcW w:w="260"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項目</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業別</w:t>
            </w:r>
          </w:p>
        </w:tc>
        <w:tc>
          <w:tcPr>
            <w:tcW w:w="403"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產品</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97</w:t>
            </w:r>
            <w:r w:rsidRPr="00CC0CE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98</w:t>
            </w:r>
            <w:r w:rsidRPr="00CC0CE7">
              <w:rPr>
                <w:rFonts w:ascii="Times New Roman"/>
                <w:color w:val="000000" w:themeColor="text1"/>
                <w:sz w:val="20"/>
              </w:rPr>
              <w:t>年</w:t>
            </w:r>
          </w:p>
        </w:tc>
        <w:tc>
          <w:tcPr>
            <w:tcW w:w="395"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99</w:t>
            </w:r>
            <w:r w:rsidRPr="00CC0CE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100</w:t>
            </w:r>
            <w:r w:rsidRPr="00CC0CE7">
              <w:rPr>
                <w:rFonts w:ascii="Times New Roman"/>
                <w:color w:val="000000" w:themeColor="text1"/>
                <w:sz w:val="20"/>
              </w:rPr>
              <w:t>年</w:t>
            </w:r>
          </w:p>
        </w:tc>
        <w:tc>
          <w:tcPr>
            <w:tcW w:w="395"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101</w:t>
            </w:r>
            <w:r w:rsidRPr="00CC0CE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102</w:t>
            </w:r>
            <w:r w:rsidRPr="00CC0CE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103</w:t>
            </w:r>
            <w:r w:rsidRPr="00CC0CE7">
              <w:rPr>
                <w:rFonts w:ascii="Times New Roman"/>
                <w:color w:val="000000" w:themeColor="text1"/>
                <w:sz w:val="20"/>
              </w:rPr>
              <w:t>年</w:t>
            </w:r>
          </w:p>
        </w:tc>
        <w:tc>
          <w:tcPr>
            <w:tcW w:w="395"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104</w:t>
            </w:r>
            <w:r w:rsidRPr="00CC0CE7">
              <w:rPr>
                <w:rFonts w:ascii="Times New Roman"/>
                <w:color w:val="000000" w:themeColor="text1"/>
                <w:sz w:val="20"/>
              </w:rPr>
              <w:t>年</w:t>
            </w:r>
          </w:p>
        </w:tc>
        <w:tc>
          <w:tcPr>
            <w:tcW w:w="394"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105</w:t>
            </w:r>
            <w:r w:rsidRPr="00CC0CE7">
              <w:rPr>
                <w:rFonts w:ascii="Times New Roman"/>
                <w:color w:val="000000" w:themeColor="text1"/>
                <w:sz w:val="20"/>
              </w:rPr>
              <w:t>年</w:t>
            </w:r>
          </w:p>
        </w:tc>
        <w:tc>
          <w:tcPr>
            <w:tcW w:w="393"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106</w:t>
            </w:r>
            <w:r w:rsidRPr="00CC0CE7">
              <w:rPr>
                <w:rFonts w:ascii="Times New Roman"/>
                <w:color w:val="000000" w:themeColor="text1"/>
                <w:sz w:val="20"/>
              </w:rPr>
              <w:t>年</w:t>
            </w:r>
          </w:p>
        </w:tc>
      </w:tr>
      <w:tr w:rsidR="003E1A28" w:rsidRPr="00CC0CE7" w:rsidTr="00B8514E">
        <w:trPr>
          <w:trHeight w:val="312"/>
          <w:jc w:val="center"/>
        </w:trPr>
        <w:tc>
          <w:tcPr>
            <w:tcW w:w="260" w:type="pct"/>
            <w:vMerge w:val="restart"/>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生產量</w:t>
            </w:r>
          </w:p>
        </w:tc>
        <w:tc>
          <w:tcPr>
            <w:tcW w:w="394" w:type="pct"/>
            <w:vMerge w:val="restart"/>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roofErr w:type="gramStart"/>
            <w:r w:rsidRPr="00CC0CE7">
              <w:rPr>
                <w:rFonts w:ascii="Times New Roman"/>
                <w:bCs/>
                <w:color w:val="000000" w:themeColor="text1"/>
                <w:sz w:val="20"/>
              </w:rPr>
              <w:t>塑膠膜袋製造業</w:t>
            </w:r>
            <w:proofErr w:type="gramEnd"/>
          </w:p>
        </w:tc>
        <w:tc>
          <w:tcPr>
            <w:tcW w:w="403" w:type="pct"/>
            <w:noWrap/>
            <w:hideMark/>
          </w:tcPr>
          <w:p w:rsidR="00230B77" w:rsidRPr="00CC0CE7" w:rsidRDefault="00230B77" w:rsidP="00B8514E">
            <w:pPr>
              <w:overflowPunct/>
              <w:autoSpaceDE/>
              <w:autoSpaceDN/>
              <w:adjustRightInd w:val="0"/>
              <w:snapToGrid w:val="0"/>
              <w:jc w:val="left"/>
              <w:rPr>
                <w:rFonts w:ascii="Times New Roman"/>
                <w:b/>
                <w:color w:val="000000" w:themeColor="text1"/>
                <w:sz w:val="20"/>
              </w:rPr>
            </w:pPr>
            <w:r w:rsidRPr="00CC0CE7">
              <w:rPr>
                <w:rFonts w:ascii="Times New Roman"/>
                <w:b/>
                <w:color w:val="000000" w:themeColor="text1"/>
                <w:sz w:val="20"/>
              </w:rPr>
              <w:t>塑膠袋</w:t>
            </w:r>
          </w:p>
          <w:p w:rsidR="00230B77" w:rsidRPr="00CC0CE7" w:rsidRDefault="00230B77" w:rsidP="00B8514E">
            <w:pPr>
              <w:overflowPunct/>
              <w:autoSpaceDE/>
              <w:autoSpaceDN/>
              <w:adjustRightInd w:val="0"/>
              <w:snapToGrid w:val="0"/>
              <w:jc w:val="left"/>
              <w:rPr>
                <w:rFonts w:ascii="Times New Roman"/>
                <w:b/>
                <w:color w:val="000000" w:themeColor="text1"/>
                <w:sz w:val="20"/>
              </w:rPr>
            </w:pPr>
            <w:r w:rsidRPr="00CC0CE7">
              <w:rPr>
                <w:rFonts w:ascii="Times New Roman"/>
                <w:b/>
                <w:color w:val="000000" w:themeColor="text1"/>
                <w:sz w:val="20"/>
              </w:rPr>
              <w:t xml:space="preserve"> (</w:t>
            </w:r>
            <w:r w:rsidRPr="00CC0CE7">
              <w:rPr>
                <w:rFonts w:ascii="Times New Roman"/>
                <w:b/>
                <w:color w:val="000000" w:themeColor="text1"/>
                <w:sz w:val="20"/>
              </w:rPr>
              <w:t>公噸</w:t>
            </w:r>
            <w:r w:rsidRPr="00CC0CE7">
              <w:rPr>
                <w:rFonts w:ascii="Times New Roman"/>
                <w:b/>
                <w:color w:val="000000" w:themeColor="text1"/>
                <w:sz w:val="20"/>
              </w:rPr>
              <w:t>)</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219,465</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175,759</w:t>
            </w:r>
          </w:p>
        </w:tc>
        <w:tc>
          <w:tcPr>
            <w:tcW w:w="395"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195,877</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193,802</w:t>
            </w:r>
          </w:p>
        </w:tc>
        <w:tc>
          <w:tcPr>
            <w:tcW w:w="395"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202,572</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200,005</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221,099</w:t>
            </w:r>
          </w:p>
        </w:tc>
        <w:tc>
          <w:tcPr>
            <w:tcW w:w="395"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214,680</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214,329</w:t>
            </w:r>
          </w:p>
        </w:tc>
        <w:tc>
          <w:tcPr>
            <w:tcW w:w="393"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225,456</w:t>
            </w:r>
          </w:p>
        </w:tc>
      </w:tr>
      <w:tr w:rsidR="003E1A28" w:rsidRPr="00CC0CE7" w:rsidTr="00B8514E">
        <w:trPr>
          <w:trHeight w:val="312"/>
          <w:jc w:val="center"/>
        </w:trPr>
        <w:tc>
          <w:tcPr>
            <w:tcW w:w="260" w:type="pct"/>
            <w:vMerge/>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p>
        </w:tc>
        <w:tc>
          <w:tcPr>
            <w:tcW w:w="394" w:type="pct"/>
            <w:vMerge/>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
        </w:tc>
        <w:tc>
          <w:tcPr>
            <w:tcW w:w="403" w:type="pct"/>
            <w:noWrap/>
            <w:hideMark/>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塑膠膜</w:t>
            </w:r>
          </w:p>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 xml:space="preserve"> (</w:t>
            </w:r>
            <w:r w:rsidRPr="00CC0CE7">
              <w:rPr>
                <w:rFonts w:ascii="Times New Roman"/>
                <w:color w:val="000000" w:themeColor="text1"/>
                <w:sz w:val="20"/>
              </w:rPr>
              <w:t>公噸</w:t>
            </w:r>
            <w:r w:rsidRPr="00CC0CE7">
              <w:rPr>
                <w:rFonts w:ascii="Times New Roman"/>
                <w:color w:val="000000" w:themeColor="text1"/>
                <w:sz w:val="20"/>
              </w:rPr>
              <w:t>)</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261,916</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284,073</w:t>
            </w:r>
          </w:p>
        </w:tc>
        <w:tc>
          <w:tcPr>
            <w:tcW w:w="395"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291,907</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265,028</w:t>
            </w:r>
          </w:p>
        </w:tc>
        <w:tc>
          <w:tcPr>
            <w:tcW w:w="395"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295,234</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288,491</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316,588</w:t>
            </w:r>
          </w:p>
        </w:tc>
        <w:tc>
          <w:tcPr>
            <w:tcW w:w="395"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309,885</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302,953</w:t>
            </w:r>
          </w:p>
        </w:tc>
        <w:tc>
          <w:tcPr>
            <w:tcW w:w="393"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295,823</w:t>
            </w:r>
          </w:p>
        </w:tc>
      </w:tr>
      <w:tr w:rsidR="003E1A28" w:rsidRPr="00CC0CE7" w:rsidTr="00B8514E">
        <w:trPr>
          <w:trHeight w:val="312"/>
          <w:jc w:val="center"/>
        </w:trPr>
        <w:tc>
          <w:tcPr>
            <w:tcW w:w="260" w:type="pct"/>
            <w:vMerge w:val="restart"/>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hint="eastAsia"/>
                <w:b/>
                <w:color w:val="000000" w:themeColor="text1"/>
                <w:sz w:val="20"/>
              </w:rPr>
              <w:t>銷售量</w:t>
            </w:r>
          </w:p>
        </w:tc>
        <w:tc>
          <w:tcPr>
            <w:tcW w:w="394" w:type="pct"/>
            <w:vMerge w:val="restart"/>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roofErr w:type="gramStart"/>
            <w:r w:rsidRPr="00CC0CE7">
              <w:rPr>
                <w:rFonts w:ascii="Times New Roman"/>
                <w:bCs/>
                <w:color w:val="000000" w:themeColor="text1"/>
                <w:sz w:val="20"/>
              </w:rPr>
              <w:t>塑膠膜袋製造業</w:t>
            </w:r>
            <w:proofErr w:type="gramEnd"/>
          </w:p>
        </w:tc>
        <w:tc>
          <w:tcPr>
            <w:tcW w:w="403" w:type="pct"/>
            <w:noWrap/>
            <w:hideMark/>
          </w:tcPr>
          <w:p w:rsidR="00230B77" w:rsidRPr="00CC0CE7" w:rsidRDefault="00230B77" w:rsidP="00B8514E">
            <w:pPr>
              <w:overflowPunct/>
              <w:autoSpaceDE/>
              <w:autoSpaceDN/>
              <w:adjustRightInd w:val="0"/>
              <w:snapToGrid w:val="0"/>
              <w:jc w:val="left"/>
              <w:rPr>
                <w:rFonts w:ascii="Times New Roman"/>
                <w:b/>
                <w:color w:val="000000" w:themeColor="text1"/>
                <w:sz w:val="20"/>
              </w:rPr>
            </w:pPr>
            <w:r w:rsidRPr="00CC0CE7">
              <w:rPr>
                <w:rFonts w:ascii="Times New Roman"/>
                <w:b/>
                <w:color w:val="000000" w:themeColor="text1"/>
                <w:sz w:val="20"/>
              </w:rPr>
              <w:t>塑膠袋</w:t>
            </w:r>
            <w:r w:rsidRPr="00CC0CE7">
              <w:rPr>
                <w:rFonts w:ascii="Times New Roman"/>
                <w:b/>
                <w:color w:val="000000" w:themeColor="text1"/>
                <w:sz w:val="20"/>
              </w:rPr>
              <w:t xml:space="preserve"> </w:t>
            </w:r>
          </w:p>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b/>
                <w:color w:val="000000" w:themeColor="text1"/>
                <w:sz w:val="20"/>
              </w:rPr>
              <w:t>(</w:t>
            </w:r>
            <w:r w:rsidRPr="00CC0CE7">
              <w:rPr>
                <w:rFonts w:ascii="Times New Roman"/>
                <w:b/>
                <w:color w:val="000000" w:themeColor="text1"/>
                <w:sz w:val="20"/>
              </w:rPr>
              <w:t>公噸</w:t>
            </w:r>
            <w:r w:rsidRPr="00CC0CE7">
              <w:rPr>
                <w:rFonts w:ascii="Times New Roman"/>
                <w:b/>
                <w:color w:val="000000" w:themeColor="text1"/>
                <w:sz w:val="20"/>
              </w:rPr>
              <w:t>)</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207,434</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175,078</w:t>
            </w:r>
          </w:p>
        </w:tc>
        <w:tc>
          <w:tcPr>
            <w:tcW w:w="395"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193,660</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193,614</w:t>
            </w:r>
          </w:p>
        </w:tc>
        <w:tc>
          <w:tcPr>
            <w:tcW w:w="395"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201,620</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201,474</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223,649</w:t>
            </w:r>
          </w:p>
        </w:tc>
        <w:tc>
          <w:tcPr>
            <w:tcW w:w="395"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216,729</w:t>
            </w:r>
          </w:p>
        </w:tc>
        <w:tc>
          <w:tcPr>
            <w:tcW w:w="394"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211,862</w:t>
            </w:r>
          </w:p>
        </w:tc>
        <w:tc>
          <w:tcPr>
            <w:tcW w:w="393" w:type="pct"/>
            <w:shd w:val="clear" w:color="auto" w:fill="BFBFBF" w:themeFill="background1" w:themeFillShade="BF"/>
            <w:noWrap/>
            <w:vAlign w:val="center"/>
            <w:hideMark/>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222,289</w:t>
            </w:r>
          </w:p>
        </w:tc>
      </w:tr>
      <w:tr w:rsidR="003E1A28" w:rsidRPr="00CC0CE7" w:rsidTr="00B8514E">
        <w:trPr>
          <w:trHeight w:val="312"/>
          <w:jc w:val="center"/>
        </w:trPr>
        <w:tc>
          <w:tcPr>
            <w:tcW w:w="260" w:type="pct"/>
            <w:vMerge/>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p>
        </w:tc>
        <w:tc>
          <w:tcPr>
            <w:tcW w:w="394" w:type="pct"/>
            <w:vMerge/>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
        </w:tc>
        <w:tc>
          <w:tcPr>
            <w:tcW w:w="403" w:type="pct"/>
            <w:noWrap/>
            <w:hideMark/>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塑膠膜</w:t>
            </w:r>
            <w:r w:rsidRPr="00CC0CE7">
              <w:rPr>
                <w:rFonts w:ascii="Times New Roman"/>
                <w:color w:val="000000" w:themeColor="text1"/>
                <w:sz w:val="20"/>
              </w:rPr>
              <w:t xml:space="preserve"> </w:t>
            </w:r>
          </w:p>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w:t>
            </w:r>
            <w:r w:rsidRPr="00CC0CE7">
              <w:rPr>
                <w:rFonts w:ascii="Times New Roman"/>
                <w:color w:val="000000" w:themeColor="text1"/>
                <w:sz w:val="20"/>
              </w:rPr>
              <w:t>公噸</w:t>
            </w:r>
            <w:r w:rsidRPr="00CC0CE7">
              <w:rPr>
                <w:rFonts w:ascii="Times New Roman"/>
                <w:color w:val="000000" w:themeColor="text1"/>
                <w:sz w:val="20"/>
              </w:rPr>
              <w:t>)</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254,920</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272,953</w:t>
            </w:r>
          </w:p>
        </w:tc>
        <w:tc>
          <w:tcPr>
            <w:tcW w:w="395"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284,435</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255,144</w:t>
            </w:r>
          </w:p>
        </w:tc>
        <w:tc>
          <w:tcPr>
            <w:tcW w:w="395"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286,928</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290,799</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314,534</w:t>
            </w:r>
          </w:p>
        </w:tc>
        <w:tc>
          <w:tcPr>
            <w:tcW w:w="395"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294,685</w:t>
            </w:r>
          </w:p>
        </w:tc>
        <w:tc>
          <w:tcPr>
            <w:tcW w:w="394"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293,026</w:t>
            </w:r>
          </w:p>
        </w:tc>
        <w:tc>
          <w:tcPr>
            <w:tcW w:w="393" w:type="pct"/>
            <w:noWrap/>
            <w:vAlign w:val="center"/>
            <w:hideMark/>
          </w:tcPr>
          <w:p w:rsidR="00230B77" w:rsidRPr="00CC0CE7" w:rsidRDefault="00230B77" w:rsidP="00B8514E">
            <w:pPr>
              <w:overflowPunct/>
              <w:autoSpaceDE/>
              <w:autoSpaceDN/>
              <w:adjustRightInd w:val="0"/>
              <w:snapToGrid w:val="0"/>
              <w:jc w:val="right"/>
              <w:rPr>
                <w:rFonts w:ascii="Times New Roman"/>
                <w:color w:val="000000" w:themeColor="text1"/>
                <w:sz w:val="20"/>
              </w:rPr>
            </w:pPr>
            <w:r w:rsidRPr="00CC0CE7">
              <w:rPr>
                <w:rFonts w:ascii="Times New Roman"/>
                <w:color w:val="000000" w:themeColor="text1"/>
                <w:sz w:val="20"/>
              </w:rPr>
              <w:t>279,905</w:t>
            </w:r>
          </w:p>
        </w:tc>
      </w:tr>
      <w:tr w:rsidR="003E1A28" w:rsidRPr="00CC0CE7" w:rsidTr="00B8514E">
        <w:trPr>
          <w:trHeight w:val="312"/>
          <w:jc w:val="center"/>
        </w:trPr>
        <w:tc>
          <w:tcPr>
            <w:tcW w:w="654" w:type="pct"/>
            <w:gridSpan w:val="2"/>
            <w:vAlign w:val="center"/>
          </w:tcPr>
          <w:p w:rsidR="00230B77" w:rsidRPr="00CC0CE7" w:rsidRDefault="00230B77" w:rsidP="00B8514E">
            <w:pPr>
              <w:overflowPunct/>
              <w:autoSpaceDE/>
              <w:autoSpaceDN/>
              <w:adjustRightInd w:val="0"/>
              <w:snapToGrid w:val="0"/>
              <w:rPr>
                <w:rFonts w:ascii="Times New Roman"/>
                <w:bCs/>
                <w:color w:val="000000" w:themeColor="text1"/>
                <w:sz w:val="20"/>
              </w:rPr>
            </w:pPr>
            <w:r w:rsidRPr="00CC0CE7">
              <w:rPr>
                <w:rFonts w:ascii="Times New Roman" w:hint="eastAsia"/>
                <w:bCs/>
                <w:color w:val="000000" w:themeColor="text1"/>
                <w:sz w:val="20"/>
              </w:rPr>
              <w:t>銷售率</w:t>
            </w:r>
          </w:p>
        </w:tc>
        <w:tc>
          <w:tcPr>
            <w:tcW w:w="403" w:type="pct"/>
            <w:noWrap/>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塑膠袋</w:t>
            </w:r>
          </w:p>
        </w:tc>
        <w:tc>
          <w:tcPr>
            <w:tcW w:w="394"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94.5%</w:t>
            </w:r>
          </w:p>
        </w:tc>
        <w:tc>
          <w:tcPr>
            <w:tcW w:w="394"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99.6%</w:t>
            </w:r>
          </w:p>
        </w:tc>
        <w:tc>
          <w:tcPr>
            <w:tcW w:w="395"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98.9%</w:t>
            </w:r>
          </w:p>
        </w:tc>
        <w:tc>
          <w:tcPr>
            <w:tcW w:w="394"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99.9%</w:t>
            </w:r>
          </w:p>
        </w:tc>
        <w:tc>
          <w:tcPr>
            <w:tcW w:w="395"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99.5%</w:t>
            </w:r>
          </w:p>
        </w:tc>
        <w:tc>
          <w:tcPr>
            <w:tcW w:w="394"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100.7%</w:t>
            </w:r>
          </w:p>
        </w:tc>
        <w:tc>
          <w:tcPr>
            <w:tcW w:w="394"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101.2%</w:t>
            </w:r>
          </w:p>
        </w:tc>
        <w:tc>
          <w:tcPr>
            <w:tcW w:w="395"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101.0%</w:t>
            </w:r>
          </w:p>
        </w:tc>
        <w:tc>
          <w:tcPr>
            <w:tcW w:w="394"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98.8%</w:t>
            </w:r>
          </w:p>
        </w:tc>
        <w:tc>
          <w:tcPr>
            <w:tcW w:w="393"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98.6%</w:t>
            </w:r>
          </w:p>
        </w:tc>
      </w:tr>
    </w:tbl>
    <w:p w:rsidR="00230B77" w:rsidRPr="00CC0CE7" w:rsidRDefault="00230B77" w:rsidP="00230B77">
      <w:pPr>
        <w:pStyle w:val="30"/>
        <w:numPr>
          <w:ilvl w:val="0"/>
          <w:numId w:val="0"/>
        </w:numPr>
        <w:ind w:leftChars="-310" w:left="-1054"/>
        <w:rPr>
          <w:color w:val="000000" w:themeColor="text1"/>
          <w:sz w:val="24"/>
        </w:rPr>
      </w:pPr>
      <w:r w:rsidRPr="00CC0CE7">
        <w:rPr>
          <w:rFonts w:hint="eastAsia"/>
          <w:color w:val="000000" w:themeColor="text1"/>
          <w:sz w:val="24"/>
        </w:rPr>
        <w:t>資料來源：經濟部107年7月10日</w:t>
      </w:r>
      <w:proofErr w:type="gramStart"/>
      <w:r w:rsidRPr="00CC0CE7">
        <w:rPr>
          <w:rFonts w:hint="eastAsia"/>
          <w:color w:val="000000" w:themeColor="text1"/>
          <w:sz w:val="24"/>
        </w:rPr>
        <w:t>經授工字</w:t>
      </w:r>
      <w:proofErr w:type="gramEnd"/>
      <w:r w:rsidRPr="00CC0CE7">
        <w:rPr>
          <w:rFonts w:hint="eastAsia"/>
          <w:color w:val="000000" w:themeColor="text1"/>
          <w:sz w:val="24"/>
        </w:rPr>
        <w:t>第10720419360號函。</w:t>
      </w:r>
    </w:p>
    <w:p w:rsidR="00230B77" w:rsidRPr="00CC0CE7" w:rsidRDefault="00230B77" w:rsidP="00F77295">
      <w:pPr>
        <w:pStyle w:val="32"/>
        <w:spacing w:beforeLines="50" w:before="228" w:afterLines="50" w:after="228"/>
        <w:ind w:left="1361" w:firstLine="680"/>
        <w:rPr>
          <w:color w:val="000000" w:themeColor="text1"/>
        </w:rPr>
      </w:pPr>
      <w:r w:rsidRPr="00CC0CE7">
        <w:rPr>
          <w:rFonts w:hint="eastAsia"/>
          <w:color w:val="000000" w:themeColor="text1"/>
        </w:rPr>
        <w:t>由上表可知，歷年塑膠袋生產後當年度銷售率高達99%以上，庫存量低，可見市場使用需求量高。</w:t>
      </w:r>
      <w:proofErr w:type="gramStart"/>
      <w:r w:rsidRPr="00CC0CE7">
        <w:rPr>
          <w:rFonts w:hint="eastAsia"/>
          <w:color w:val="000000" w:themeColor="text1"/>
        </w:rPr>
        <w:t>又依近10年</w:t>
      </w:r>
      <w:proofErr w:type="gramEnd"/>
      <w:r w:rsidRPr="00CC0CE7">
        <w:rPr>
          <w:rFonts w:hint="eastAsia"/>
          <w:color w:val="000000" w:themeColor="text1"/>
        </w:rPr>
        <w:t>生產量觀之，國內塑膠袋生產量有呈現增加之趨勢。</w:t>
      </w:r>
    </w:p>
    <w:p w:rsidR="00230B77" w:rsidRPr="00CC0CE7" w:rsidRDefault="00230B77" w:rsidP="00230B77">
      <w:pPr>
        <w:pStyle w:val="30"/>
        <w:numPr>
          <w:ilvl w:val="0"/>
          <w:numId w:val="0"/>
        </w:numPr>
        <w:ind w:left="703"/>
        <w:rPr>
          <w:color w:val="000000" w:themeColor="text1"/>
        </w:rPr>
      </w:pPr>
      <w:r w:rsidRPr="00CC0CE7">
        <w:rPr>
          <w:rFonts w:hint="eastAsia"/>
          <w:color w:val="000000" w:themeColor="text1"/>
        </w:rPr>
        <w:t>97-106年歷年塑膠製品內、外銷量統計如下表：</w:t>
      </w:r>
    </w:p>
    <w:tbl>
      <w:tblPr>
        <w:tblStyle w:val="210"/>
        <w:tblW w:w="6010" w:type="pct"/>
        <w:jc w:val="center"/>
        <w:tblLayout w:type="fixed"/>
        <w:tblCellMar>
          <w:left w:w="57" w:type="dxa"/>
          <w:right w:w="57" w:type="dxa"/>
        </w:tblCellMar>
        <w:tblLook w:val="04A0" w:firstRow="1" w:lastRow="0" w:firstColumn="1" w:lastColumn="0" w:noHBand="0" w:noVBand="1"/>
      </w:tblPr>
      <w:tblGrid>
        <w:gridCol w:w="810"/>
        <w:gridCol w:w="559"/>
        <w:gridCol w:w="839"/>
        <w:gridCol w:w="841"/>
        <w:gridCol w:w="841"/>
        <w:gridCol w:w="841"/>
        <w:gridCol w:w="841"/>
        <w:gridCol w:w="841"/>
        <w:gridCol w:w="841"/>
        <w:gridCol w:w="841"/>
        <w:gridCol w:w="841"/>
        <w:gridCol w:w="841"/>
        <w:gridCol w:w="841"/>
      </w:tblGrid>
      <w:tr w:rsidR="003E1A28" w:rsidRPr="00CC0CE7" w:rsidTr="00B8514E">
        <w:trPr>
          <w:trHeight w:val="20"/>
          <w:tblHeader/>
          <w:jc w:val="center"/>
        </w:trPr>
        <w:tc>
          <w:tcPr>
            <w:tcW w:w="381"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項目</w:t>
            </w:r>
          </w:p>
        </w:tc>
        <w:tc>
          <w:tcPr>
            <w:tcW w:w="263"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業別</w:t>
            </w:r>
          </w:p>
        </w:tc>
        <w:tc>
          <w:tcPr>
            <w:tcW w:w="395"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產品</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97</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98</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99</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100</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101</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102</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103</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104</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105</w:t>
            </w:r>
            <w:r w:rsidRPr="00CC0CE7">
              <w:rPr>
                <w:rFonts w:ascii="Times New Roman"/>
                <w:b/>
                <w:color w:val="000000" w:themeColor="text1"/>
                <w:sz w:val="20"/>
              </w:rPr>
              <w:t>年</w:t>
            </w:r>
          </w:p>
        </w:tc>
        <w:tc>
          <w:tcPr>
            <w:tcW w:w="396" w:type="pct"/>
            <w:shd w:val="clear" w:color="auto" w:fill="FDE9D9" w:themeFill="accent6" w:themeFillTint="33"/>
            <w:noWrap/>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106</w:t>
            </w:r>
            <w:r w:rsidRPr="00CC0CE7">
              <w:rPr>
                <w:rFonts w:ascii="Times New Roman"/>
                <w:b/>
                <w:color w:val="000000" w:themeColor="text1"/>
                <w:sz w:val="20"/>
              </w:rPr>
              <w:t>年</w:t>
            </w:r>
          </w:p>
        </w:tc>
      </w:tr>
      <w:tr w:rsidR="003E1A28" w:rsidRPr="00CC0CE7" w:rsidTr="00B8514E">
        <w:trPr>
          <w:trHeight w:val="20"/>
          <w:jc w:val="center"/>
        </w:trPr>
        <w:tc>
          <w:tcPr>
            <w:tcW w:w="381" w:type="pct"/>
            <w:vAlign w:val="center"/>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hint="eastAsia"/>
                <w:b/>
                <w:color w:val="000000" w:themeColor="text1"/>
                <w:sz w:val="20"/>
              </w:rPr>
              <w:t>銷售量</w:t>
            </w:r>
          </w:p>
        </w:tc>
        <w:tc>
          <w:tcPr>
            <w:tcW w:w="263" w:type="pct"/>
            <w:noWrap/>
            <w:vAlign w:val="center"/>
          </w:tcPr>
          <w:p w:rsidR="00230B77" w:rsidRPr="00CC0CE7" w:rsidRDefault="00230B77" w:rsidP="00B8514E">
            <w:pPr>
              <w:overflowPunct/>
              <w:autoSpaceDE/>
              <w:autoSpaceDN/>
              <w:adjustRightInd w:val="0"/>
              <w:snapToGrid w:val="0"/>
              <w:rPr>
                <w:rFonts w:ascii="Times New Roman"/>
                <w:bCs/>
                <w:color w:val="000000" w:themeColor="text1"/>
                <w:sz w:val="20"/>
              </w:rPr>
            </w:pPr>
            <w:proofErr w:type="gramStart"/>
            <w:r w:rsidRPr="00CC0CE7">
              <w:rPr>
                <w:rFonts w:ascii="Times New Roman"/>
                <w:bCs/>
                <w:color w:val="000000" w:themeColor="text1"/>
                <w:sz w:val="20"/>
              </w:rPr>
              <w:t>塑膠膜袋製造業</w:t>
            </w:r>
            <w:proofErr w:type="gramEnd"/>
          </w:p>
        </w:tc>
        <w:tc>
          <w:tcPr>
            <w:tcW w:w="395" w:type="pct"/>
            <w:noWrap/>
          </w:tcPr>
          <w:p w:rsidR="00230B77" w:rsidRPr="00CC0CE7" w:rsidRDefault="00230B77" w:rsidP="00B8514E">
            <w:pPr>
              <w:overflowPunct/>
              <w:autoSpaceDE/>
              <w:autoSpaceDN/>
              <w:adjustRightInd w:val="0"/>
              <w:snapToGrid w:val="0"/>
              <w:jc w:val="left"/>
              <w:rPr>
                <w:rFonts w:ascii="Times New Roman"/>
                <w:b/>
                <w:color w:val="000000" w:themeColor="text1"/>
                <w:sz w:val="20"/>
              </w:rPr>
            </w:pPr>
            <w:r w:rsidRPr="00CC0CE7">
              <w:rPr>
                <w:rFonts w:ascii="Times New Roman"/>
                <w:b/>
                <w:color w:val="000000" w:themeColor="text1"/>
                <w:sz w:val="20"/>
              </w:rPr>
              <w:t>塑膠袋</w:t>
            </w:r>
            <w:r w:rsidRPr="00CC0CE7">
              <w:rPr>
                <w:rFonts w:ascii="Times New Roman"/>
                <w:b/>
                <w:color w:val="000000" w:themeColor="text1"/>
                <w:sz w:val="20"/>
              </w:rPr>
              <w:t xml:space="preserve"> </w:t>
            </w:r>
          </w:p>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b/>
                <w:color w:val="000000" w:themeColor="text1"/>
                <w:sz w:val="20"/>
              </w:rPr>
              <w:t>(</w:t>
            </w:r>
            <w:r w:rsidRPr="00CC0CE7">
              <w:rPr>
                <w:rFonts w:ascii="Times New Roman"/>
                <w:b/>
                <w:color w:val="000000" w:themeColor="text1"/>
                <w:sz w:val="20"/>
              </w:rPr>
              <w:t>公噸</w:t>
            </w:r>
            <w:r w:rsidRPr="00CC0CE7">
              <w:rPr>
                <w:rFonts w:ascii="Times New Roman"/>
                <w:b/>
                <w:color w:val="000000" w:themeColor="text1"/>
                <w:sz w:val="20"/>
              </w:rPr>
              <w:t>)</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207,434</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175,078</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193,660</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193,614</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201,620</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201,474</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223,649</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216,729</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211,862</w:t>
            </w:r>
          </w:p>
        </w:tc>
        <w:tc>
          <w:tcPr>
            <w:tcW w:w="396" w:type="pct"/>
            <w:shd w:val="clear" w:color="auto" w:fill="BFBFBF" w:themeFill="background1" w:themeFillShade="BF"/>
            <w:noWrap/>
            <w:vAlign w:val="center"/>
          </w:tcPr>
          <w:p w:rsidR="00230B77" w:rsidRPr="00CC0CE7" w:rsidRDefault="00230B77" w:rsidP="00B8514E">
            <w:pPr>
              <w:overflowPunct/>
              <w:autoSpaceDE/>
              <w:autoSpaceDN/>
              <w:adjustRightInd w:val="0"/>
              <w:snapToGrid w:val="0"/>
              <w:jc w:val="right"/>
              <w:rPr>
                <w:rFonts w:ascii="Times New Roman"/>
                <w:b/>
                <w:color w:val="000000" w:themeColor="text1"/>
                <w:sz w:val="20"/>
              </w:rPr>
            </w:pPr>
            <w:r w:rsidRPr="00CC0CE7">
              <w:rPr>
                <w:rFonts w:ascii="Times New Roman"/>
                <w:b/>
                <w:color w:val="000000" w:themeColor="text1"/>
                <w:sz w:val="20"/>
              </w:rPr>
              <w:t>222,289</w:t>
            </w:r>
          </w:p>
        </w:tc>
      </w:tr>
      <w:tr w:rsidR="003E1A28" w:rsidRPr="00CC0CE7" w:rsidTr="00B8514E">
        <w:trPr>
          <w:trHeight w:val="20"/>
          <w:jc w:val="center"/>
        </w:trPr>
        <w:tc>
          <w:tcPr>
            <w:tcW w:w="381" w:type="pct"/>
            <w:vMerge w:val="restart"/>
            <w:vAlign w:val="center"/>
            <w:hideMark/>
          </w:tcPr>
          <w:p w:rsidR="00230B77" w:rsidRPr="00CC0CE7" w:rsidRDefault="00230B77" w:rsidP="00B8514E">
            <w:pPr>
              <w:overflowPunct/>
              <w:autoSpaceDE/>
              <w:autoSpaceDN/>
              <w:adjustRightInd w:val="0"/>
              <w:snapToGrid w:val="0"/>
              <w:jc w:val="center"/>
              <w:rPr>
                <w:rFonts w:ascii="Times New Roman"/>
                <w:b/>
                <w:color w:val="000000" w:themeColor="text1"/>
                <w:sz w:val="20"/>
              </w:rPr>
            </w:pPr>
            <w:r w:rsidRPr="00CC0CE7">
              <w:rPr>
                <w:rFonts w:ascii="Times New Roman"/>
                <w:b/>
                <w:color w:val="000000" w:themeColor="text1"/>
                <w:sz w:val="20"/>
              </w:rPr>
              <w:t>內銷量</w:t>
            </w:r>
            <w:r w:rsidRPr="00CC0CE7">
              <w:rPr>
                <w:rFonts w:ascii="Times New Roman"/>
                <w:b/>
                <w:color w:val="000000" w:themeColor="text1"/>
                <w:sz w:val="20"/>
              </w:rPr>
              <w:t>(</w:t>
            </w:r>
            <w:r w:rsidRPr="00CC0CE7">
              <w:rPr>
                <w:rFonts w:ascii="Times New Roman"/>
                <w:b/>
                <w:color w:val="000000" w:themeColor="text1"/>
                <w:sz w:val="20"/>
              </w:rPr>
              <w:t>含間接外銷</w:t>
            </w:r>
            <w:r w:rsidRPr="00CC0CE7">
              <w:rPr>
                <w:rFonts w:ascii="Times New Roman"/>
                <w:b/>
                <w:color w:val="000000" w:themeColor="text1"/>
                <w:sz w:val="20"/>
              </w:rPr>
              <w:t>)</w:t>
            </w:r>
          </w:p>
        </w:tc>
        <w:tc>
          <w:tcPr>
            <w:tcW w:w="263" w:type="pct"/>
            <w:vMerge w:val="restart"/>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roofErr w:type="gramStart"/>
            <w:r w:rsidRPr="00CC0CE7">
              <w:rPr>
                <w:rFonts w:ascii="Times New Roman"/>
                <w:bCs/>
                <w:color w:val="000000" w:themeColor="text1"/>
                <w:sz w:val="20"/>
              </w:rPr>
              <w:t>塑膠膜袋製造業</w:t>
            </w:r>
            <w:proofErr w:type="gramEnd"/>
          </w:p>
        </w:tc>
        <w:tc>
          <w:tcPr>
            <w:tcW w:w="395" w:type="pct"/>
            <w:noWrap/>
            <w:hideMark/>
          </w:tcPr>
          <w:p w:rsidR="00230B77" w:rsidRPr="00CC0CE7" w:rsidRDefault="00230B77" w:rsidP="00B8514E">
            <w:pPr>
              <w:overflowPunct/>
              <w:autoSpaceDE/>
              <w:autoSpaceDN/>
              <w:adjustRightInd w:val="0"/>
              <w:snapToGrid w:val="0"/>
              <w:jc w:val="left"/>
              <w:rPr>
                <w:rFonts w:ascii="Times New Roman"/>
                <w:b/>
                <w:color w:val="000000" w:themeColor="text1"/>
                <w:sz w:val="20"/>
              </w:rPr>
            </w:pPr>
            <w:r w:rsidRPr="00CC0CE7">
              <w:rPr>
                <w:rFonts w:ascii="Times New Roman"/>
                <w:b/>
                <w:color w:val="000000" w:themeColor="text1"/>
                <w:sz w:val="20"/>
              </w:rPr>
              <w:t>塑膠袋</w:t>
            </w:r>
            <w:r w:rsidRPr="00CC0CE7">
              <w:rPr>
                <w:rFonts w:ascii="Times New Roman"/>
                <w:b/>
                <w:color w:val="000000" w:themeColor="text1"/>
                <w:sz w:val="20"/>
              </w:rPr>
              <w:t xml:space="preserve"> (</w:t>
            </w:r>
            <w:r w:rsidRPr="00CC0CE7">
              <w:rPr>
                <w:rFonts w:ascii="Times New Roman"/>
                <w:b/>
                <w:color w:val="000000" w:themeColor="text1"/>
                <w:sz w:val="20"/>
              </w:rPr>
              <w:t>公噸</w:t>
            </w:r>
            <w:r w:rsidRPr="00CC0CE7">
              <w:rPr>
                <w:rFonts w:ascii="Times New Roman"/>
                <w:b/>
                <w:color w:val="000000" w:themeColor="text1"/>
                <w:sz w:val="20"/>
              </w:rPr>
              <w:t>)</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148,262</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126,188</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142,595</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142,114</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146,485</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152,407</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171,994</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171,005</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163,239</w:t>
            </w:r>
          </w:p>
        </w:tc>
        <w:tc>
          <w:tcPr>
            <w:tcW w:w="396" w:type="pct"/>
            <w:shd w:val="clear" w:color="auto" w:fill="BFBFBF" w:themeFill="background1" w:themeFillShade="BF"/>
            <w:noWrap/>
            <w:vAlign w:val="center"/>
            <w:hideMark/>
          </w:tcPr>
          <w:p w:rsidR="00230B77" w:rsidRPr="00CC0CE7" w:rsidRDefault="00230B77" w:rsidP="00B8514E">
            <w:pPr>
              <w:overflowPunct/>
              <w:autoSpaceDE/>
              <w:autoSpaceDN/>
              <w:jc w:val="left"/>
              <w:rPr>
                <w:rFonts w:ascii="Times New Roman"/>
                <w:b/>
                <w:color w:val="000000" w:themeColor="text1"/>
                <w:sz w:val="20"/>
              </w:rPr>
            </w:pPr>
            <w:r w:rsidRPr="00CC0CE7">
              <w:rPr>
                <w:rFonts w:ascii="Times New Roman"/>
                <w:b/>
                <w:color w:val="000000" w:themeColor="text1"/>
                <w:sz w:val="20"/>
              </w:rPr>
              <w:t>169,533</w:t>
            </w:r>
          </w:p>
        </w:tc>
      </w:tr>
      <w:tr w:rsidR="003E1A28" w:rsidRPr="00CC0CE7" w:rsidTr="00B8514E">
        <w:trPr>
          <w:trHeight w:val="20"/>
          <w:jc w:val="center"/>
        </w:trPr>
        <w:tc>
          <w:tcPr>
            <w:tcW w:w="381" w:type="pct"/>
            <w:vMerge/>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p>
        </w:tc>
        <w:tc>
          <w:tcPr>
            <w:tcW w:w="263" w:type="pct"/>
            <w:vMerge/>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
        </w:tc>
        <w:tc>
          <w:tcPr>
            <w:tcW w:w="395" w:type="pct"/>
            <w:noWrap/>
            <w:hideMark/>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塑膠膜</w:t>
            </w:r>
            <w:r w:rsidRPr="00CC0CE7">
              <w:rPr>
                <w:rFonts w:ascii="Times New Roman"/>
                <w:color w:val="000000" w:themeColor="text1"/>
                <w:sz w:val="20"/>
              </w:rPr>
              <w:t xml:space="preserve"> (</w:t>
            </w:r>
            <w:r w:rsidRPr="00CC0CE7">
              <w:rPr>
                <w:rFonts w:ascii="Times New Roman"/>
                <w:color w:val="000000" w:themeColor="text1"/>
                <w:sz w:val="20"/>
              </w:rPr>
              <w:t>公噸</w:t>
            </w:r>
            <w:r w:rsidRPr="00CC0CE7">
              <w:rPr>
                <w:rFonts w:ascii="Times New Roman"/>
                <w:color w:val="000000" w:themeColor="text1"/>
                <w:sz w:val="20"/>
              </w:rPr>
              <w:t>)</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169,421</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175,458</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181,788</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161,957</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173,056</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176,955</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192,772</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179,712</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177,754</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167,368</w:t>
            </w:r>
          </w:p>
        </w:tc>
      </w:tr>
      <w:tr w:rsidR="003E1A28" w:rsidRPr="00CC0CE7" w:rsidTr="00B8514E">
        <w:trPr>
          <w:trHeight w:val="20"/>
          <w:jc w:val="center"/>
        </w:trPr>
        <w:tc>
          <w:tcPr>
            <w:tcW w:w="381" w:type="pct"/>
            <w:vMerge w:val="restart"/>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r w:rsidRPr="00CC0CE7">
              <w:rPr>
                <w:rFonts w:ascii="Times New Roman"/>
                <w:color w:val="000000" w:themeColor="text1"/>
                <w:sz w:val="20"/>
              </w:rPr>
              <w:t>直接外銷量</w:t>
            </w:r>
          </w:p>
        </w:tc>
        <w:tc>
          <w:tcPr>
            <w:tcW w:w="263" w:type="pct"/>
            <w:vMerge w:val="restart"/>
            <w:noWrap/>
            <w:vAlign w:val="center"/>
            <w:hideMark/>
          </w:tcPr>
          <w:p w:rsidR="00230B77" w:rsidRPr="00CC0CE7" w:rsidRDefault="00230B77" w:rsidP="00B8514E">
            <w:pPr>
              <w:overflowPunct/>
              <w:autoSpaceDE/>
              <w:autoSpaceDN/>
              <w:adjustRightInd w:val="0"/>
              <w:snapToGrid w:val="0"/>
              <w:rPr>
                <w:rFonts w:ascii="Times New Roman"/>
                <w:bCs/>
                <w:color w:val="000000" w:themeColor="text1"/>
                <w:sz w:val="20"/>
              </w:rPr>
            </w:pPr>
            <w:proofErr w:type="gramStart"/>
            <w:r w:rsidRPr="00CC0CE7">
              <w:rPr>
                <w:rFonts w:ascii="Times New Roman"/>
                <w:bCs/>
                <w:color w:val="000000" w:themeColor="text1"/>
                <w:sz w:val="20"/>
              </w:rPr>
              <w:t>塑膠膜袋製造業</w:t>
            </w:r>
            <w:proofErr w:type="gramEnd"/>
          </w:p>
        </w:tc>
        <w:tc>
          <w:tcPr>
            <w:tcW w:w="395" w:type="pct"/>
            <w:noWrap/>
            <w:hideMark/>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塑膠袋</w:t>
            </w:r>
            <w:r w:rsidRPr="00CC0CE7">
              <w:rPr>
                <w:rFonts w:ascii="Times New Roman"/>
                <w:color w:val="000000" w:themeColor="text1"/>
                <w:sz w:val="20"/>
              </w:rPr>
              <w:t xml:space="preserve"> (</w:t>
            </w:r>
            <w:r w:rsidRPr="00CC0CE7">
              <w:rPr>
                <w:rFonts w:ascii="Times New Roman"/>
                <w:color w:val="000000" w:themeColor="text1"/>
                <w:sz w:val="20"/>
              </w:rPr>
              <w:t>公噸</w:t>
            </w:r>
            <w:r w:rsidRPr="00CC0CE7">
              <w:rPr>
                <w:rFonts w:ascii="Times New Roman"/>
                <w:color w:val="000000" w:themeColor="text1"/>
                <w:sz w:val="20"/>
              </w:rPr>
              <w:t>)</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59,172</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48,890</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51,065</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51,500</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55,135</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49,067</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51,655</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45,724</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48,623</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52,756</w:t>
            </w:r>
          </w:p>
        </w:tc>
      </w:tr>
      <w:tr w:rsidR="003E1A28" w:rsidRPr="00CC0CE7" w:rsidTr="00B8514E">
        <w:trPr>
          <w:trHeight w:val="20"/>
          <w:jc w:val="center"/>
        </w:trPr>
        <w:tc>
          <w:tcPr>
            <w:tcW w:w="381" w:type="pct"/>
            <w:vMerge/>
            <w:vAlign w:val="center"/>
            <w:hideMark/>
          </w:tcPr>
          <w:p w:rsidR="00230B77" w:rsidRPr="00CC0CE7" w:rsidRDefault="00230B77" w:rsidP="00B8514E">
            <w:pPr>
              <w:overflowPunct/>
              <w:autoSpaceDE/>
              <w:autoSpaceDN/>
              <w:adjustRightInd w:val="0"/>
              <w:snapToGrid w:val="0"/>
              <w:jc w:val="center"/>
              <w:rPr>
                <w:rFonts w:ascii="Times New Roman"/>
                <w:color w:val="000000" w:themeColor="text1"/>
                <w:sz w:val="20"/>
              </w:rPr>
            </w:pPr>
          </w:p>
        </w:tc>
        <w:tc>
          <w:tcPr>
            <w:tcW w:w="263" w:type="pct"/>
            <w:vMerge/>
            <w:noWrap/>
            <w:vAlign w:val="center"/>
            <w:hideMark/>
          </w:tcPr>
          <w:p w:rsidR="00230B77" w:rsidRPr="00CC0CE7" w:rsidRDefault="00230B77" w:rsidP="00B8514E">
            <w:pPr>
              <w:overflowPunct/>
              <w:autoSpaceDE/>
              <w:autoSpaceDN/>
              <w:adjustRightInd w:val="0"/>
              <w:snapToGrid w:val="0"/>
              <w:rPr>
                <w:rFonts w:ascii="Times New Roman"/>
                <w:b/>
                <w:bCs/>
                <w:color w:val="000000" w:themeColor="text1"/>
                <w:sz w:val="20"/>
              </w:rPr>
            </w:pPr>
          </w:p>
        </w:tc>
        <w:tc>
          <w:tcPr>
            <w:tcW w:w="395" w:type="pct"/>
            <w:noWrap/>
            <w:hideMark/>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塑膠膜</w:t>
            </w:r>
            <w:r w:rsidRPr="00CC0CE7">
              <w:rPr>
                <w:rFonts w:ascii="Times New Roman"/>
                <w:color w:val="000000" w:themeColor="text1"/>
                <w:sz w:val="20"/>
              </w:rPr>
              <w:t xml:space="preserve"> (</w:t>
            </w:r>
            <w:r w:rsidRPr="00CC0CE7">
              <w:rPr>
                <w:rFonts w:ascii="Times New Roman"/>
                <w:color w:val="000000" w:themeColor="text1"/>
                <w:sz w:val="20"/>
              </w:rPr>
              <w:t>公噸</w:t>
            </w:r>
            <w:r w:rsidRPr="00CC0CE7">
              <w:rPr>
                <w:rFonts w:ascii="Times New Roman"/>
                <w:color w:val="000000" w:themeColor="text1"/>
                <w:sz w:val="20"/>
              </w:rPr>
              <w:t>)</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85,499</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97,495</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102,647</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93,187</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113,872</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113,844</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121,762</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114,973</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115,272</w:t>
            </w:r>
          </w:p>
        </w:tc>
        <w:tc>
          <w:tcPr>
            <w:tcW w:w="396" w:type="pct"/>
            <w:noWrap/>
            <w:vAlign w:val="center"/>
            <w:hideMark/>
          </w:tcPr>
          <w:p w:rsidR="00230B77" w:rsidRPr="00CC0CE7" w:rsidRDefault="00230B77" w:rsidP="00B8514E">
            <w:pPr>
              <w:overflowPunct/>
              <w:autoSpaceDE/>
              <w:autoSpaceDN/>
              <w:jc w:val="left"/>
              <w:rPr>
                <w:rFonts w:ascii="Times New Roman"/>
                <w:color w:val="000000" w:themeColor="text1"/>
                <w:sz w:val="20"/>
              </w:rPr>
            </w:pPr>
            <w:r w:rsidRPr="00CC0CE7">
              <w:rPr>
                <w:rFonts w:ascii="Times New Roman"/>
                <w:color w:val="000000" w:themeColor="text1"/>
                <w:sz w:val="20"/>
              </w:rPr>
              <w:t>112,537</w:t>
            </w:r>
          </w:p>
        </w:tc>
      </w:tr>
      <w:tr w:rsidR="003E1A28" w:rsidRPr="00CC0CE7" w:rsidTr="00B8514E">
        <w:trPr>
          <w:trHeight w:val="20"/>
          <w:jc w:val="center"/>
        </w:trPr>
        <w:tc>
          <w:tcPr>
            <w:tcW w:w="644" w:type="pct"/>
            <w:gridSpan w:val="2"/>
            <w:vAlign w:val="center"/>
          </w:tcPr>
          <w:p w:rsidR="00230B77" w:rsidRPr="00CC0CE7" w:rsidRDefault="00230B77" w:rsidP="00B8514E">
            <w:pPr>
              <w:overflowPunct/>
              <w:autoSpaceDE/>
              <w:autoSpaceDN/>
              <w:adjustRightInd w:val="0"/>
              <w:snapToGrid w:val="0"/>
              <w:rPr>
                <w:rFonts w:ascii="Times New Roman"/>
                <w:b/>
                <w:bCs/>
                <w:color w:val="000000" w:themeColor="text1"/>
                <w:sz w:val="20"/>
              </w:rPr>
            </w:pPr>
            <w:r w:rsidRPr="00CC0CE7">
              <w:rPr>
                <w:rFonts w:ascii="Times New Roman" w:hint="eastAsia"/>
                <w:b/>
                <w:bCs/>
                <w:color w:val="000000" w:themeColor="text1"/>
                <w:sz w:val="20"/>
              </w:rPr>
              <w:t>內銷比率</w:t>
            </w:r>
          </w:p>
        </w:tc>
        <w:tc>
          <w:tcPr>
            <w:tcW w:w="395" w:type="pct"/>
            <w:noWrap/>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塑膠袋</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71.5%</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72.1%</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73.6%</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73.4%</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72.7%</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75.6%</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76.9%</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78.9%</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77.0%</w:t>
            </w:r>
          </w:p>
        </w:tc>
        <w:tc>
          <w:tcPr>
            <w:tcW w:w="396" w:type="pct"/>
            <w:noWrap/>
            <w:vAlign w:val="bottom"/>
          </w:tcPr>
          <w:p w:rsidR="00230B77" w:rsidRPr="00CC0CE7" w:rsidRDefault="00230B77" w:rsidP="00B8514E">
            <w:pPr>
              <w:jc w:val="right"/>
              <w:rPr>
                <w:rFonts w:ascii="Times New Roman" w:eastAsia="新細明體" w:hAnsi="Times New Roman"/>
                <w:b/>
                <w:color w:val="000000" w:themeColor="text1"/>
                <w:sz w:val="24"/>
                <w:szCs w:val="24"/>
              </w:rPr>
            </w:pPr>
            <w:r w:rsidRPr="00CC0CE7">
              <w:rPr>
                <w:rFonts w:ascii="Times New Roman" w:hAnsi="Times New Roman"/>
                <w:b/>
                <w:color w:val="000000" w:themeColor="text1"/>
                <w:sz w:val="24"/>
                <w:szCs w:val="24"/>
              </w:rPr>
              <w:t>76.3%</w:t>
            </w:r>
          </w:p>
        </w:tc>
      </w:tr>
      <w:tr w:rsidR="003E1A28" w:rsidRPr="00CC0CE7" w:rsidTr="00B8514E">
        <w:trPr>
          <w:trHeight w:val="20"/>
          <w:jc w:val="center"/>
        </w:trPr>
        <w:tc>
          <w:tcPr>
            <w:tcW w:w="644" w:type="pct"/>
            <w:gridSpan w:val="2"/>
            <w:vAlign w:val="center"/>
          </w:tcPr>
          <w:p w:rsidR="00230B77" w:rsidRPr="00CC0CE7" w:rsidRDefault="00230B77" w:rsidP="00B8514E">
            <w:pPr>
              <w:overflowPunct/>
              <w:autoSpaceDE/>
              <w:autoSpaceDN/>
              <w:adjustRightInd w:val="0"/>
              <w:snapToGrid w:val="0"/>
              <w:rPr>
                <w:rFonts w:ascii="Times New Roman"/>
                <w:bCs/>
                <w:color w:val="000000" w:themeColor="text1"/>
                <w:sz w:val="20"/>
              </w:rPr>
            </w:pPr>
            <w:r w:rsidRPr="00CC0CE7">
              <w:rPr>
                <w:rFonts w:ascii="Times New Roman" w:hint="eastAsia"/>
                <w:bCs/>
                <w:color w:val="000000" w:themeColor="text1"/>
                <w:sz w:val="20"/>
              </w:rPr>
              <w:t>外銷比率</w:t>
            </w:r>
          </w:p>
        </w:tc>
        <w:tc>
          <w:tcPr>
            <w:tcW w:w="395" w:type="pct"/>
            <w:noWrap/>
          </w:tcPr>
          <w:p w:rsidR="00230B77" w:rsidRPr="00CC0CE7" w:rsidRDefault="00230B77" w:rsidP="00B8514E">
            <w:pPr>
              <w:overflowPunct/>
              <w:autoSpaceDE/>
              <w:autoSpaceDN/>
              <w:adjustRightInd w:val="0"/>
              <w:snapToGrid w:val="0"/>
              <w:jc w:val="left"/>
              <w:rPr>
                <w:rFonts w:ascii="Times New Roman"/>
                <w:color w:val="000000" w:themeColor="text1"/>
                <w:sz w:val="20"/>
              </w:rPr>
            </w:pPr>
            <w:r w:rsidRPr="00CC0CE7">
              <w:rPr>
                <w:rFonts w:ascii="Times New Roman"/>
                <w:color w:val="000000" w:themeColor="text1"/>
                <w:sz w:val="20"/>
              </w:rPr>
              <w:t>塑膠袋</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28.5%</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27.9%</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26.4%</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26.6%</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27.3%</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24.4%</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23.1%</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21.1%</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23.0%</w:t>
            </w:r>
          </w:p>
        </w:tc>
        <w:tc>
          <w:tcPr>
            <w:tcW w:w="396" w:type="pct"/>
            <w:noWrap/>
            <w:vAlign w:val="bottom"/>
          </w:tcPr>
          <w:p w:rsidR="00230B77" w:rsidRPr="00CC0CE7" w:rsidRDefault="00230B77" w:rsidP="00B8514E">
            <w:pPr>
              <w:jc w:val="right"/>
              <w:rPr>
                <w:rFonts w:ascii="Times New Roman" w:eastAsia="新細明體" w:hAnsi="Times New Roman"/>
                <w:color w:val="000000" w:themeColor="text1"/>
                <w:sz w:val="24"/>
                <w:szCs w:val="24"/>
              </w:rPr>
            </w:pPr>
            <w:r w:rsidRPr="00CC0CE7">
              <w:rPr>
                <w:rFonts w:ascii="Times New Roman" w:hAnsi="Times New Roman"/>
                <w:color w:val="000000" w:themeColor="text1"/>
                <w:sz w:val="24"/>
                <w:szCs w:val="24"/>
              </w:rPr>
              <w:t>23.7%</w:t>
            </w:r>
          </w:p>
        </w:tc>
      </w:tr>
    </w:tbl>
    <w:p w:rsidR="00230B77" w:rsidRPr="00CC0CE7" w:rsidRDefault="00230B77" w:rsidP="00230B77">
      <w:pPr>
        <w:pStyle w:val="32"/>
        <w:ind w:left="1361" w:firstLine="520"/>
        <w:rPr>
          <w:color w:val="000000" w:themeColor="text1"/>
          <w:sz w:val="24"/>
        </w:rPr>
      </w:pPr>
      <w:r w:rsidRPr="00CC0CE7">
        <w:rPr>
          <w:rFonts w:hint="eastAsia"/>
          <w:color w:val="000000" w:themeColor="text1"/>
          <w:sz w:val="24"/>
        </w:rPr>
        <w:t>資料來源：經濟部107年7月10日</w:t>
      </w:r>
      <w:proofErr w:type="gramStart"/>
      <w:r w:rsidRPr="00CC0CE7">
        <w:rPr>
          <w:rFonts w:hint="eastAsia"/>
          <w:color w:val="000000" w:themeColor="text1"/>
          <w:sz w:val="24"/>
        </w:rPr>
        <w:t>經授工字</w:t>
      </w:r>
      <w:proofErr w:type="gramEnd"/>
      <w:r w:rsidRPr="00CC0CE7">
        <w:rPr>
          <w:rFonts w:hint="eastAsia"/>
          <w:color w:val="000000" w:themeColor="text1"/>
          <w:sz w:val="24"/>
        </w:rPr>
        <w:t>第10720419360號函。</w:t>
      </w:r>
    </w:p>
    <w:p w:rsidR="00230B77" w:rsidRPr="00CC0CE7" w:rsidRDefault="00230B77" w:rsidP="00F77295">
      <w:pPr>
        <w:pStyle w:val="32"/>
        <w:spacing w:beforeLines="50" w:before="228"/>
        <w:ind w:left="1361" w:firstLine="680"/>
        <w:rPr>
          <w:color w:val="000000" w:themeColor="text1"/>
        </w:rPr>
      </w:pPr>
      <w:r w:rsidRPr="00CC0CE7">
        <w:rPr>
          <w:rFonts w:hint="eastAsia"/>
          <w:color w:val="000000" w:themeColor="text1"/>
        </w:rPr>
        <w:t>再由上表可知，塑膠袋的銷售主要以國內市場</w:t>
      </w:r>
      <w:r w:rsidRPr="00CC0CE7">
        <w:rPr>
          <w:rFonts w:hint="eastAsia"/>
          <w:color w:val="000000" w:themeColor="text1"/>
        </w:rPr>
        <w:lastRenderedPageBreak/>
        <w:t>為主約占</w:t>
      </w:r>
      <w:proofErr w:type="gramStart"/>
      <w:r w:rsidRPr="00CC0CE7">
        <w:rPr>
          <w:rFonts w:hint="eastAsia"/>
          <w:color w:val="000000" w:themeColor="text1"/>
        </w:rPr>
        <w:t>7成</w:t>
      </w:r>
      <w:proofErr w:type="gramEnd"/>
      <w:r w:rsidRPr="00CC0CE7">
        <w:rPr>
          <w:rFonts w:hint="eastAsia"/>
          <w:color w:val="000000" w:themeColor="text1"/>
        </w:rPr>
        <w:t>5左右。</w:t>
      </w:r>
      <w:proofErr w:type="gramStart"/>
      <w:r w:rsidRPr="00CC0CE7">
        <w:rPr>
          <w:rFonts w:hint="eastAsia"/>
          <w:color w:val="000000" w:themeColor="text1"/>
        </w:rPr>
        <w:t>又依近</w:t>
      </w:r>
      <w:proofErr w:type="gramEnd"/>
      <w:r w:rsidRPr="00CC0CE7">
        <w:rPr>
          <w:rFonts w:hint="eastAsia"/>
          <w:color w:val="000000" w:themeColor="text1"/>
        </w:rPr>
        <w:t>10年內銷量觀之，國內塑膠袋內銷量有呈現增加之趨勢。</w:t>
      </w:r>
    </w:p>
    <w:p w:rsidR="00230B77" w:rsidRPr="00CC0CE7" w:rsidRDefault="00230B77" w:rsidP="00230B77">
      <w:pPr>
        <w:pStyle w:val="3"/>
        <w:numPr>
          <w:ilvl w:val="2"/>
          <w:numId w:val="1"/>
        </w:numPr>
        <w:rPr>
          <w:color w:val="000000" w:themeColor="text1"/>
        </w:rPr>
      </w:pPr>
      <w:r w:rsidRPr="00CC0CE7">
        <w:rPr>
          <w:rFonts w:hint="eastAsia"/>
          <w:color w:val="000000" w:themeColor="text1"/>
        </w:rPr>
        <w:t>雖環保署表示，經91年第一</w:t>
      </w:r>
      <w:proofErr w:type="gramStart"/>
      <w:r w:rsidRPr="00CC0CE7">
        <w:rPr>
          <w:rFonts w:hint="eastAsia"/>
          <w:color w:val="000000" w:themeColor="text1"/>
        </w:rPr>
        <w:t>波限塑</w:t>
      </w:r>
      <w:proofErr w:type="gramEnd"/>
      <w:r w:rsidRPr="00CC0CE7">
        <w:rPr>
          <w:rFonts w:hint="eastAsia"/>
          <w:color w:val="000000" w:themeColor="text1"/>
        </w:rPr>
        <w:t>措施，減少20.05億個塑膠袋使用量，然</w:t>
      </w:r>
      <w:proofErr w:type="gramStart"/>
      <w:r w:rsidRPr="00CC0CE7">
        <w:rPr>
          <w:rFonts w:hint="eastAsia"/>
          <w:color w:val="000000" w:themeColor="text1"/>
        </w:rPr>
        <w:t>因限塑所採</w:t>
      </w:r>
      <w:proofErr w:type="gramEnd"/>
      <w:r w:rsidRPr="00CC0CE7">
        <w:rPr>
          <w:rFonts w:hint="eastAsia"/>
          <w:color w:val="000000" w:themeColor="text1"/>
        </w:rPr>
        <w:t>塑膠袋較厚，整體生產塑膠袋之塑膠用量是否因之減少及對環境之影響，環保署並未考量。其後該署以考量國人消費特性，民眾於有店面餐飲業消費確有使用塑膠袋裝提外帶食物之必要，於95年修正公告取消有店面餐飲業管制，未能持續限制使用措施以</w:t>
      </w:r>
      <w:r w:rsidR="00C03E81" w:rsidRPr="00CC0CE7">
        <w:rPr>
          <w:rFonts w:hint="eastAsia"/>
          <w:color w:val="000000" w:themeColor="text1"/>
        </w:rPr>
        <w:t>澈底</w:t>
      </w:r>
      <w:r w:rsidRPr="00CC0CE7">
        <w:rPr>
          <w:rFonts w:hint="eastAsia"/>
          <w:color w:val="000000" w:themeColor="text1"/>
        </w:rPr>
        <w:t>改變民眾使用習慣，有違廢棄物清理法第21條及延宕立法院第4屆第6會期第3次會議修正廢棄物清理法時，通過6項附帶決議之塑膠袋禁用時程。</w:t>
      </w:r>
      <w:proofErr w:type="gramStart"/>
      <w:r w:rsidRPr="00CC0CE7">
        <w:rPr>
          <w:rFonts w:hint="eastAsia"/>
          <w:color w:val="000000" w:themeColor="text1"/>
        </w:rPr>
        <w:t>再依近10年</w:t>
      </w:r>
      <w:proofErr w:type="gramEnd"/>
      <w:r w:rsidRPr="00CC0CE7">
        <w:rPr>
          <w:rFonts w:hint="eastAsia"/>
          <w:color w:val="000000" w:themeColor="text1"/>
        </w:rPr>
        <w:t>國內塑膠袋</w:t>
      </w:r>
      <w:proofErr w:type="gramStart"/>
      <w:r w:rsidRPr="00CC0CE7">
        <w:rPr>
          <w:rFonts w:hint="eastAsia"/>
          <w:color w:val="000000" w:themeColor="text1"/>
        </w:rPr>
        <w:t>使用量觀之</w:t>
      </w:r>
      <w:proofErr w:type="gramEnd"/>
      <w:r w:rsidRPr="00CC0CE7">
        <w:rPr>
          <w:rFonts w:hint="eastAsia"/>
          <w:color w:val="000000" w:themeColor="text1"/>
        </w:rPr>
        <w:t>，歷年國內生產量不但呈現增加之趨勢，國內所生產之塑膠袋內銷量亦呈現增加。是</w:t>
      </w:r>
      <w:proofErr w:type="gramStart"/>
      <w:r w:rsidRPr="00CC0CE7">
        <w:rPr>
          <w:rFonts w:hint="eastAsia"/>
          <w:color w:val="000000" w:themeColor="text1"/>
        </w:rPr>
        <w:t>以</w:t>
      </w:r>
      <w:proofErr w:type="gramEnd"/>
      <w:r w:rsidRPr="00CC0CE7">
        <w:rPr>
          <w:rFonts w:hint="eastAsia"/>
          <w:color w:val="000000" w:themeColor="text1"/>
        </w:rPr>
        <w:t>，環保署在</w:t>
      </w:r>
      <w:proofErr w:type="gramStart"/>
      <w:r w:rsidRPr="00CC0CE7">
        <w:rPr>
          <w:rFonts w:hint="eastAsia"/>
          <w:color w:val="000000" w:themeColor="text1"/>
        </w:rPr>
        <w:t>推動限塑源頭</w:t>
      </w:r>
      <w:proofErr w:type="gramEnd"/>
      <w:r w:rsidRPr="00CC0CE7">
        <w:rPr>
          <w:rFonts w:hint="eastAsia"/>
          <w:color w:val="000000" w:themeColor="text1"/>
        </w:rPr>
        <w:t>減量多年，國內塑膠袋整體生產及使用量不減反增。據「臺灣清淨海洋行動聯盟」</w:t>
      </w:r>
      <w:r w:rsidRPr="00CC0CE7">
        <w:rPr>
          <w:rStyle w:val="afc"/>
          <w:color w:val="000000" w:themeColor="text1"/>
        </w:rPr>
        <w:footnoteReference w:id="4"/>
      </w:r>
      <w:r w:rsidRPr="00CC0CE7">
        <w:rPr>
          <w:rFonts w:hint="eastAsia"/>
          <w:color w:val="000000" w:themeColor="text1"/>
        </w:rPr>
        <w:t>曾統計，臺灣2013年海洋廢棄物前幾名為塑膠袋、免洗餐具、瓶蓋、吸管與飲料瓶等。與其他國家相比，臺灣的塑膠袋不但高居首位，更高達23.75%，遠多過國際；全</w:t>
      </w:r>
      <w:proofErr w:type="gramStart"/>
      <w:r w:rsidRPr="00CC0CE7">
        <w:rPr>
          <w:rFonts w:hint="eastAsia"/>
          <w:color w:val="000000" w:themeColor="text1"/>
        </w:rPr>
        <w:t>臺</w:t>
      </w:r>
      <w:proofErr w:type="gramEnd"/>
      <w:r w:rsidRPr="00CC0CE7">
        <w:rPr>
          <w:rFonts w:hint="eastAsia"/>
          <w:color w:val="000000" w:themeColor="text1"/>
        </w:rPr>
        <w:t>一年用掉180億個，平均每人年使用782個，等於每天使用2.7個</w:t>
      </w:r>
      <w:proofErr w:type="gramStart"/>
      <w:r w:rsidRPr="00CC0CE7">
        <w:rPr>
          <w:rFonts w:hint="eastAsia"/>
          <w:color w:val="000000" w:themeColor="text1"/>
        </w:rPr>
        <w:t>（</w:t>
      </w:r>
      <w:proofErr w:type="gramEnd"/>
      <w:r w:rsidRPr="00CC0CE7">
        <w:rPr>
          <w:rFonts w:hint="eastAsia"/>
          <w:color w:val="000000" w:themeColor="text1"/>
        </w:rPr>
        <w:t>2016/10/21更正：每人每天應為2.14個</w:t>
      </w:r>
      <w:proofErr w:type="gramStart"/>
      <w:r w:rsidRPr="00CC0CE7">
        <w:rPr>
          <w:rFonts w:hint="eastAsia"/>
          <w:color w:val="000000" w:themeColor="text1"/>
        </w:rPr>
        <w:t>）</w:t>
      </w:r>
      <w:proofErr w:type="gramEnd"/>
      <w:r w:rsidRPr="00CC0CE7">
        <w:rPr>
          <w:rFonts w:hint="eastAsia"/>
          <w:color w:val="000000" w:themeColor="text1"/>
        </w:rPr>
        <w:t>，比照歐盟每年每人平均198個，臺灣多了3.9倍，濫用的結果也讓臺灣的海岸充斥著垃圾，甚至破壞生態，造成環境衝擊。</w:t>
      </w:r>
    </w:p>
    <w:p w:rsidR="00230B77" w:rsidRPr="00CC0CE7" w:rsidRDefault="00230B77" w:rsidP="00230B77">
      <w:pPr>
        <w:pStyle w:val="3"/>
        <w:numPr>
          <w:ilvl w:val="2"/>
          <w:numId w:val="1"/>
        </w:numPr>
        <w:rPr>
          <w:color w:val="000000" w:themeColor="text1"/>
        </w:rPr>
      </w:pPr>
      <w:r w:rsidRPr="00CC0CE7">
        <w:rPr>
          <w:rFonts w:hint="eastAsia"/>
          <w:color w:val="000000" w:themeColor="text1"/>
        </w:rPr>
        <w:t>再依各國</w:t>
      </w:r>
      <w:proofErr w:type="gramStart"/>
      <w:r w:rsidRPr="00CC0CE7">
        <w:rPr>
          <w:rFonts w:hint="eastAsia"/>
          <w:color w:val="000000" w:themeColor="text1"/>
        </w:rPr>
        <w:t>在限塑方面</w:t>
      </w:r>
      <w:proofErr w:type="gramEnd"/>
      <w:r w:rsidRPr="00CC0CE7">
        <w:rPr>
          <w:rFonts w:hint="eastAsia"/>
          <w:color w:val="000000" w:themeColor="text1"/>
        </w:rPr>
        <w:t>措施觀之，孟加拉是全球第</w:t>
      </w:r>
      <w:proofErr w:type="gramStart"/>
      <w:r w:rsidRPr="00CC0CE7">
        <w:rPr>
          <w:rFonts w:hint="eastAsia"/>
          <w:color w:val="000000" w:themeColor="text1"/>
        </w:rPr>
        <w:t>一個禁塑</w:t>
      </w:r>
      <w:proofErr w:type="gramEnd"/>
      <w:r w:rsidRPr="00CC0CE7">
        <w:rPr>
          <w:rFonts w:hint="eastAsia"/>
          <w:color w:val="000000" w:themeColor="text1"/>
        </w:rPr>
        <w:t>的國家，</w:t>
      </w:r>
      <w:r w:rsidRPr="00CC0CE7">
        <w:rPr>
          <w:color w:val="000000" w:themeColor="text1"/>
        </w:rPr>
        <w:t>2002</w:t>
      </w:r>
      <w:r w:rsidRPr="00CC0CE7">
        <w:rPr>
          <w:rFonts w:hint="eastAsia"/>
          <w:color w:val="000000" w:themeColor="text1"/>
        </w:rPr>
        <w:t>年起即禁止</w:t>
      </w:r>
      <w:proofErr w:type="gramStart"/>
      <w:r w:rsidRPr="00CC0CE7">
        <w:rPr>
          <w:rFonts w:hint="eastAsia"/>
          <w:color w:val="000000" w:themeColor="text1"/>
        </w:rPr>
        <w:t>使用薄型塑膠袋</w:t>
      </w:r>
      <w:proofErr w:type="gramEnd"/>
      <w:r w:rsidRPr="00CC0CE7">
        <w:rPr>
          <w:rFonts w:hint="eastAsia"/>
          <w:color w:val="000000" w:themeColor="text1"/>
        </w:rPr>
        <w:t>；</w:t>
      </w:r>
      <w:r w:rsidRPr="00CC0CE7">
        <w:rPr>
          <w:rFonts w:hint="eastAsia"/>
          <w:color w:val="000000" w:themeColor="text1"/>
        </w:rPr>
        <w:lastRenderedPageBreak/>
        <w:t>愛爾蘭於</w:t>
      </w:r>
      <w:r w:rsidRPr="00CC0CE7">
        <w:rPr>
          <w:color w:val="000000" w:themeColor="text1"/>
        </w:rPr>
        <w:t>2002</w:t>
      </w:r>
      <w:r w:rsidRPr="00CC0CE7">
        <w:rPr>
          <w:rFonts w:hint="eastAsia"/>
          <w:color w:val="000000" w:themeColor="text1"/>
        </w:rPr>
        <w:t>年起徵收塑膠袋税，成為全球第一個開徵塑膠袋税的國家。中國在</w:t>
      </w:r>
      <w:r w:rsidRPr="00CC0CE7">
        <w:rPr>
          <w:color w:val="000000" w:themeColor="text1"/>
        </w:rPr>
        <w:t>2008</w:t>
      </w:r>
      <w:r w:rsidRPr="00CC0CE7">
        <w:rPr>
          <w:rFonts w:hint="eastAsia"/>
          <w:color w:val="000000" w:themeColor="text1"/>
        </w:rPr>
        <w:t>年禁止商店提供免費塑膠袋；美國加州於</w:t>
      </w:r>
      <w:r w:rsidRPr="00CC0CE7">
        <w:rPr>
          <w:color w:val="000000" w:themeColor="text1"/>
        </w:rPr>
        <w:t>2016</w:t>
      </w:r>
      <w:r w:rsidRPr="00CC0CE7">
        <w:rPr>
          <w:rFonts w:hint="eastAsia"/>
          <w:color w:val="000000" w:themeColor="text1"/>
        </w:rPr>
        <w:t>年起全面禁用塑膠袋；斯里蘭卡在</w:t>
      </w:r>
      <w:r w:rsidRPr="00CC0CE7">
        <w:rPr>
          <w:color w:val="000000" w:themeColor="text1"/>
        </w:rPr>
        <w:t>2017</w:t>
      </w:r>
      <w:r w:rsidRPr="00CC0CE7">
        <w:rPr>
          <w:rFonts w:hint="eastAsia"/>
          <w:color w:val="000000" w:themeColor="text1"/>
        </w:rPr>
        <w:t>年禁止販售塑膠袋、</w:t>
      </w:r>
      <w:proofErr w:type="gramStart"/>
      <w:r w:rsidRPr="00CC0CE7">
        <w:rPr>
          <w:rFonts w:hint="eastAsia"/>
          <w:color w:val="000000" w:themeColor="text1"/>
        </w:rPr>
        <w:t>塑膠杯和塑膠</w:t>
      </w:r>
      <w:proofErr w:type="gramEnd"/>
      <w:r w:rsidRPr="00CC0CE7">
        <w:rPr>
          <w:rFonts w:hint="eastAsia"/>
          <w:color w:val="000000" w:themeColor="text1"/>
        </w:rPr>
        <w:t>盤；</w:t>
      </w:r>
      <w:r w:rsidRPr="00CC0CE7">
        <w:rPr>
          <w:color w:val="000000" w:themeColor="text1"/>
        </w:rPr>
        <w:t>2018</w:t>
      </w:r>
      <w:r w:rsidRPr="00CC0CE7">
        <w:rPr>
          <w:rFonts w:hint="eastAsia"/>
          <w:color w:val="000000" w:themeColor="text1"/>
        </w:rPr>
        <w:t>年</w:t>
      </w:r>
      <w:r w:rsidRPr="00CC0CE7">
        <w:rPr>
          <w:color w:val="000000" w:themeColor="text1"/>
        </w:rPr>
        <w:t>7</w:t>
      </w:r>
      <w:r w:rsidRPr="00CC0CE7">
        <w:rPr>
          <w:rFonts w:hint="eastAsia"/>
          <w:color w:val="000000" w:themeColor="text1"/>
        </w:rPr>
        <w:t>月起美國西雅圖全面禁用塑膠餐具和吸管；萬那杜</w:t>
      </w:r>
      <w:proofErr w:type="gramStart"/>
      <w:r w:rsidRPr="00CC0CE7">
        <w:rPr>
          <w:rFonts w:hint="eastAsia"/>
          <w:color w:val="000000" w:themeColor="text1"/>
        </w:rPr>
        <w:t>採</w:t>
      </w:r>
      <w:proofErr w:type="gramEnd"/>
      <w:r w:rsidRPr="00CC0CE7">
        <w:rPr>
          <w:rFonts w:hint="eastAsia"/>
          <w:color w:val="000000" w:themeColor="text1"/>
        </w:rPr>
        <w:t>相同措施，於</w:t>
      </w:r>
      <w:r w:rsidRPr="00CC0CE7">
        <w:rPr>
          <w:color w:val="000000" w:themeColor="text1"/>
        </w:rPr>
        <w:t>2018</w:t>
      </w:r>
      <w:r w:rsidRPr="00CC0CE7">
        <w:rPr>
          <w:rFonts w:hint="eastAsia"/>
          <w:color w:val="000000" w:themeColor="text1"/>
        </w:rPr>
        <w:t>年禁止塑膠袋、容器和吸管。蘇格蘭也由</w:t>
      </w:r>
      <w:r w:rsidRPr="00CC0CE7">
        <w:rPr>
          <w:color w:val="000000" w:themeColor="text1"/>
        </w:rPr>
        <w:t>2018</w:t>
      </w:r>
      <w:r w:rsidRPr="00CC0CE7">
        <w:rPr>
          <w:rFonts w:hint="eastAsia"/>
          <w:color w:val="000000" w:themeColor="text1"/>
        </w:rPr>
        <w:t>年起，格拉斯哥將禁止市政大樓使用塑膠吸管。至於日本，</w:t>
      </w:r>
      <w:r w:rsidRPr="00CC0CE7">
        <w:rPr>
          <w:color w:val="000000" w:themeColor="text1"/>
        </w:rPr>
        <w:t>2020</w:t>
      </w:r>
      <w:r w:rsidRPr="00CC0CE7">
        <w:rPr>
          <w:rFonts w:hint="eastAsia"/>
          <w:color w:val="000000" w:themeColor="text1"/>
        </w:rPr>
        <w:t>年起所有零售商店都禁止提供免費塑膠袋；英國在25年內將禁用塑膠袋，寶特瓶，塑膠吸管等用品；法國於2020年將成為第一個全面禁用拋棄式塑膠餐具的國家；歐盟也向塑膠宣戰，歐洲議會今（2019）年以壓倒性的560：35票數，贊成禁止使用一系列一次性塑膠，包含咖啡最常使用的咖啡杯、攪拌棒、餐盒、餐具等，加上保麗龍、吸管、棉花棒、耳塞、濕紙巾等，2021年全面生效，此項禁令還包括塑膠減量的目標，其中一項是到2029年，寶特瓶必須達到90％的回收再利用，而不是回收後卻根本沒有妥善利用；而最常出現在海洋的10項塑膠垃圾也必須減半，包含保麗龍、塑膠飲料瓶罐、塑膠袋、鋁箔包、漁網、玻璃瓶等</w:t>
      </w:r>
      <w:r w:rsidRPr="00CC0CE7">
        <w:rPr>
          <w:rStyle w:val="afc"/>
          <w:color w:val="000000" w:themeColor="text1"/>
        </w:rPr>
        <w:footnoteReference w:id="5"/>
      </w:r>
      <w:r w:rsidRPr="00CC0CE7">
        <w:rPr>
          <w:rFonts w:hint="eastAsia"/>
          <w:color w:val="000000" w:themeColor="text1"/>
        </w:rPr>
        <w:t>。值得注意的是，超過60％的非洲國家</w:t>
      </w:r>
      <w:proofErr w:type="gramStart"/>
      <w:r w:rsidRPr="00CC0CE7">
        <w:rPr>
          <w:rFonts w:hint="eastAsia"/>
          <w:color w:val="000000" w:themeColor="text1"/>
        </w:rPr>
        <w:t>全面限塑</w:t>
      </w:r>
      <w:proofErr w:type="gramEnd"/>
      <w:r w:rsidRPr="00CC0CE7">
        <w:rPr>
          <w:rFonts w:hint="eastAsia"/>
          <w:color w:val="000000" w:themeColor="text1"/>
        </w:rPr>
        <w:t>，違規者甚至還有刑責</w:t>
      </w:r>
      <w:r w:rsidRPr="00CC0CE7">
        <w:rPr>
          <w:rStyle w:val="afc"/>
          <w:color w:val="000000" w:themeColor="text1"/>
        </w:rPr>
        <w:footnoteReference w:id="6"/>
      </w:r>
      <w:r w:rsidRPr="00CC0CE7">
        <w:rPr>
          <w:rFonts w:hint="eastAsia"/>
          <w:color w:val="000000" w:themeColor="text1"/>
        </w:rPr>
        <w:t>。基上說明，國際間許多國家或城市，在</w:t>
      </w:r>
      <w:proofErr w:type="gramStart"/>
      <w:r w:rsidRPr="00CC0CE7">
        <w:rPr>
          <w:rFonts w:hint="eastAsia"/>
          <w:color w:val="000000" w:themeColor="text1"/>
        </w:rPr>
        <w:t>限塑上</w:t>
      </w:r>
      <w:proofErr w:type="gramEnd"/>
      <w:r w:rsidRPr="00CC0CE7">
        <w:rPr>
          <w:rFonts w:hint="eastAsia"/>
          <w:color w:val="000000" w:themeColor="text1"/>
        </w:rPr>
        <w:t>已紛紛</w:t>
      </w:r>
      <w:proofErr w:type="gramStart"/>
      <w:r w:rsidRPr="00CC0CE7">
        <w:rPr>
          <w:rFonts w:hint="eastAsia"/>
          <w:color w:val="000000" w:themeColor="text1"/>
        </w:rPr>
        <w:t>採</w:t>
      </w:r>
      <w:proofErr w:type="gramEnd"/>
      <w:r w:rsidRPr="00CC0CE7">
        <w:rPr>
          <w:rFonts w:hint="eastAsia"/>
          <w:color w:val="000000" w:themeColor="text1"/>
        </w:rPr>
        <w:t>行較我國更積極的具體限制措施。</w:t>
      </w:r>
    </w:p>
    <w:p w:rsidR="00230B77" w:rsidRPr="00CC0CE7" w:rsidRDefault="00230B77" w:rsidP="00230B77">
      <w:pPr>
        <w:pStyle w:val="3"/>
        <w:numPr>
          <w:ilvl w:val="2"/>
          <w:numId w:val="1"/>
        </w:numPr>
        <w:rPr>
          <w:color w:val="000000" w:themeColor="text1"/>
        </w:rPr>
      </w:pPr>
      <w:r w:rsidRPr="00CC0CE7">
        <w:rPr>
          <w:rFonts w:hint="eastAsia"/>
          <w:color w:val="000000" w:themeColor="text1"/>
        </w:rPr>
        <w:t>再查本院前開報告調查意見第一點：「環保署執行</w:t>
      </w:r>
      <w:r w:rsidRPr="00CC0CE7">
        <w:rPr>
          <w:rFonts w:hint="eastAsia"/>
          <w:color w:val="000000" w:themeColor="text1"/>
        </w:rPr>
        <w:lastRenderedPageBreak/>
        <w:t>『購物用塑膠袋及塑膠類（含保麗龍）免洗餐具限用政策』前，雖曾與相關業者、公會及工業局協商，惟與工業局未能事先掌握業者轉型所需時間…</w:t>
      </w:r>
      <w:proofErr w:type="gramStart"/>
      <w:r w:rsidRPr="00CC0CE7">
        <w:rPr>
          <w:rFonts w:hint="eastAsia"/>
          <w:color w:val="000000" w:themeColor="text1"/>
        </w:rPr>
        <w:t>…</w:t>
      </w:r>
      <w:proofErr w:type="gramEnd"/>
      <w:r w:rsidRPr="00CC0CE7">
        <w:rPr>
          <w:rFonts w:hint="eastAsia"/>
          <w:color w:val="000000" w:themeColor="text1"/>
        </w:rPr>
        <w:t>」指出：「另據工業局…</w:t>
      </w:r>
      <w:proofErr w:type="gramStart"/>
      <w:r w:rsidRPr="00CC0CE7">
        <w:rPr>
          <w:rFonts w:hint="eastAsia"/>
          <w:color w:val="000000" w:themeColor="text1"/>
        </w:rPr>
        <w:t>…</w:t>
      </w:r>
      <w:proofErr w:type="gramEnd"/>
      <w:r w:rsidRPr="00CC0CE7">
        <w:rPr>
          <w:rFonts w:hint="eastAsia"/>
          <w:color w:val="000000" w:themeColor="text1"/>
        </w:rPr>
        <w:t>指出：『…</w:t>
      </w:r>
      <w:proofErr w:type="gramStart"/>
      <w:r w:rsidRPr="00CC0CE7">
        <w:rPr>
          <w:rFonts w:hint="eastAsia"/>
          <w:color w:val="000000" w:themeColor="text1"/>
        </w:rPr>
        <w:t>…</w:t>
      </w:r>
      <w:proofErr w:type="gramEnd"/>
      <w:r w:rsidRPr="00CC0CE7">
        <w:rPr>
          <w:rFonts w:hint="eastAsia"/>
          <w:color w:val="000000" w:themeColor="text1"/>
        </w:rPr>
        <w:t>塑膠袋及</w:t>
      </w:r>
      <w:proofErr w:type="gramStart"/>
      <w:r w:rsidRPr="00CC0CE7">
        <w:rPr>
          <w:rFonts w:hint="eastAsia"/>
          <w:color w:val="000000" w:themeColor="text1"/>
        </w:rPr>
        <w:t>塑膠類免洗</w:t>
      </w:r>
      <w:proofErr w:type="gramEnd"/>
      <w:r w:rsidRPr="00CC0CE7">
        <w:rPr>
          <w:rFonts w:hint="eastAsia"/>
          <w:color w:val="000000" w:themeColor="text1"/>
        </w:rPr>
        <w:t>餐具製造</w:t>
      </w:r>
      <w:proofErr w:type="gramStart"/>
      <w:r w:rsidRPr="00CC0CE7">
        <w:rPr>
          <w:rFonts w:hint="eastAsia"/>
          <w:color w:val="000000" w:themeColor="text1"/>
        </w:rPr>
        <w:t>設備均屬專用</w:t>
      </w:r>
      <w:proofErr w:type="gramEnd"/>
      <w:r w:rsidRPr="00CC0CE7">
        <w:rPr>
          <w:rFonts w:hint="eastAsia"/>
          <w:color w:val="000000" w:themeColor="text1"/>
        </w:rPr>
        <w:t>生產機器，不易變更設備構造以生產其他塑膠製品，尤其</w:t>
      </w:r>
      <w:proofErr w:type="gramStart"/>
      <w:r w:rsidRPr="00CC0CE7">
        <w:rPr>
          <w:rFonts w:hint="eastAsia"/>
          <w:color w:val="000000" w:themeColor="text1"/>
        </w:rPr>
        <w:t>塑膠類免洗</w:t>
      </w:r>
      <w:proofErr w:type="gramEnd"/>
      <w:r w:rsidRPr="00CC0CE7">
        <w:rPr>
          <w:rFonts w:hint="eastAsia"/>
          <w:color w:val="000000" w:themeColor="text1"/>
        </w:rPr>
        <w:t>餐具製造設備部分據業者及專家表示完全無法轉作生產其他塑膠製品，故廠商欲轉型產製其他產品，則需調整設備或購置新設備及移轉轉型產品之製造技術等，並非</w:t>
      </w:r>
      <w:proofErr w:type="gramStart"/>
      <w:r w:rsidRPr="00CC0CE7">
        <w:rPr>
          <w:rFonts w:hint="eastAsia"/>
          <w:color w:val="000000" w:themeColor="text1"/>
        </w:rPr>
        <w:t>一蹴</w:t>
      </w:r>
      <w:proofErr w:type="gramEnd"/>
      <w:r w:rsidRPr="00CC0CE7">
        <w:rPr>
          <w:rFonts w:hint="eastAsia"/>
          <w:color w:val="000000" w:themeColor="text1"/>
        </w:rPr>
        <w:t>可及…</w:t>
      </w:r>
      <w:proofErr w:type="gramStart"/>
      <w:r w:rsidRPr="00CC0CE7">
        <w:rPr>
          <w:rFonts w:hint="eastAsia"/>
          <w:color w:val="000000" w:themeColor="text1"/>
        </w:rPr>
        <w:t>…</w:t>
      </w:r>
      <w:proofErr w:type="gramEnd"/>
      <w:r w:rsidRPr="00CC0CE7">
        <w:rPr>
          <w:rFonts w:hint="eastAsia"/>
          <w:color w:val="000000" w:themeColor="text1"/>
        </w:rPr>
        <w:t>龐大之產業若要整體轉型，所需經費及時間均相當巨大，估計完成轉型時間需耗時5年以上…</w:t>
      </w:r>
      <w:proofErr w:type="gramStart"/>
      <w:r w:rsidRPr="00CC0CE7">
        <w:rPr>
          <w:rFonts w:hint="eastAsia"/>
          <w:color w:val="000000" w:themeColor="text1"/>
        </w:rPr>
        <w:t>…</w:t>
      </w:r>
      <w:proofErr w:type="gramEnd"/>
      <w:r w:rsidRPr="00CC0CE7">
        <w:rPr>
          <w:rFonts w:hint="eastAsia"/>
          <w:color w:val="000000" w:themeColor="text1"/>
        </w:rPr>
        <w:t>。」、「綜上分析，本案環保署</w:t>
      </w:r>
      <w:proofErr w:type="gramStart"/>
      <w:r w:rsidRPr="00CC0CE7">
        <w:rPr>
          <w:rFonts w:hint="eastAsia"/>
          <w:color w:val="000000" w:themeColor="text1"/>
        </w:rPr>
        <w:t>執行限塑政策</w:t>
      </w:r>
      <w:proofErr w:type="gramEnd"/>
      <w:r w:rsidRPr="00CC0CE7">
        <w:rPr>
          <w:rFonts w:hint="eastAsia"/>
          <w:color w:val="000000" w:themeColor="text1"/>
        </w:rPr>
        <w:t>前，雖曾與塑膠相關業者、公會及工業局協商，惟…</w:t>
      </w:r>
      <w:proofErr w:type="gramStart"/>
      <w:r w:rsidRPr="00CC0CE7">
        <w:rPr>
          <w:rFonts w:hint="eastAsia"/>
          <w:color w:val="000000" w:themeColor="text1"/>
        </w:rPr>
        <w:t>…</w:t>
      </w:r>
      <w:proofErr w:type="gramEnd"/>
      <w:r w:rsidRPr="00CC0CE7">
        <w:rPr>
          <w:rFonts w:hint="eastAsia"/>
          <w:color w:val="000000" w:themeColor="text1"/>
        </w:rPr>
        <w:t>，另對於有意願轉型之塑膠袋與</w:t>
      </w:r>
      <w:proofErr w:type="gramStart"/>
      <w:r w:rsidRPr="00CC0CE7">
        <w:rPr>
          <w:rFonts w:hint="eastAsia"/>
          <w:color w:val="000000" w:themeColor="text1"/>
        </w:rPr>
        <w:t>塑膠類免洗</w:t>
      </w:r>
      <w:proofErr w:type="gramEnd"/>
      <w:r w:rsidRPr="00CC0CE7">
        <w:rPr>
          <w:rFonts w:hint="eastAsia"/>
          <w:color w:val="000000" w:themeColor="text1"/>
        </w:rPr>
        <w:t>餐具業者完成轉型所須時間亦未</w:t>
      </w:r>
      <w:proofErr w:type="gramStart"/>
      <w:r w:rsidRPr="00CC0CE7">
        <w:rPr>
          <w:rFonts w:hint="eastAsia"/>
          <w:color w:val="000000" w:themeColor="text1"/>
        </w:rPr>
        <w:t>於限塑政策</w:t>
      </w:r>
      <w:proofErr w:type="gramEnd"/>
      <w:r w:rsidRPr="00CC0CE7">
        <w:rPr>
          <w:rFonts w:hint="eastAsia"/>
          <w:color w:val="000000" w:themeColor="text1"/>
        </w:rPr>
        <w:t>定案前全盤掌握，…</w:t>
      </w:r>
      <w:proofErr w:type="gramStart"/>
      <w:r w:rsidRPr="00CC0CE7">
        <w:rPr>
          <w:rFonts w:hint="eastAsia"/>
          <w:color w:val="000000" w:themeColor="text1"/>
        </w:rPr>
        <w:t>…</w:t>
      </w:r>
      <w:proofErr w:type="gramEnd"/>
      <w:r w:rsidRPr="00CC0CE7">
        <w:rPr>
          <w:rFonts w:hint="eastAsia"/>
          <w:color w:val="000000" w:themeColor="text1"/>
        </w:rPr>
        <w:t>，顯見該二機關於決策過程中之資訊交換、意見溝通與分工合作機制有待加強。基於相關業者轉型問題迄未妥善解決，當務之急，宜持續對受衝擊業者提供合理、合法之紓困、輔導措施，…</w:t>
      </w:r>
      <w:proofErr w:type="gramStart"/>
      <w:r w:rsidRPr="00CC0CE7">
        <w:rPr>
          <w:rFonts w:hint="eastAsia"/>
          <w:color w:val="000000" w:themeColor="text1"/>
        </w:rPr>
        <w:t>…</w:t>
      </w:r>
      <w:proofErr w:type="gramEnd"/>
      <w:r w:rsidRPr="00CC0CE7">
        <w:rPr>
          <w:rFonts w:hint="eastAsia"/>
          <w:color w:val="000000" w:themeColor="text1"/>
        </w:rPr>
        <w:t>」基上，本院前已指出塑膠產業轉型需長時間，且環保署及經濟部等相關主管機關應對受衝擊之塑膠業者提供輔導措施，協助產業轉型。</w:t>
      </w:r>
    </w:p>
    <w:p w:rsidR="00230B77" w:rsidRPr="00CC0CE7" w:rsidRDefault="00230B77" w:rsidP="00230B77">
      <w:pPr>
        <w:pStyle w:val="3"/>
        <w:numPr>
          <w:ilvl w:val="2"/>
          <w:numId w:val="1"/>
        </w:numPr>
        <w:rPr>
          <w:color w:val="000000" w:themeColor="text1"/>
        </w:rPr>
      </w:pPr>
      <w:r w:rsidRPr="00CC0CE7">
        <w:rPr>
          <w:rFonts w:hint="eastAsia"/>
          <w:color w:val="000000" w:themeColor="text1"/>
        </w:rPr>
        <w:t>惟據經濟部於107年8月6日</w:t>
      </w:r>
      <w:proofErr w:type="gramStart"/>
      <w:r w:rsidRPr="00CC0CE7">
        <w:rPr>
          <w:rFonts w:hint="eastAsia"/>
          <w:color w:val="000000" w:themeColor="text1"/>
        </w:rPr>
        <w:t>函復本院</w:t>
      </w:r>
      <w:proofErr w:type="gramEnd"/>
      <w:r w:rsidRPr="00CC0CE7">
        <w:rPr>
          <w:rFonts w:hint="eastAsia"/>
          <w:color w:val="000000" w:themeColor="text1"/>
        </w:rPr>
        <w:t>有關目前商家及業界執行減/</w:t>
      </w:r>
      <w:proofErr w:type="gramStart"/>
      <w:r w:rsidRPr="00CC0CE7">
        <w:rPr>
          <w:rFonts w:hint="eastAsia"/>
          <w:color w:val="000000" w:themeColor="text1"/>
        </w:rPr>
        <w:t>禁塑政策</w:t>
      </w:r>
      <w:proofErr w:type="gramEnd"/>
      <w:r w:rsidRPr="00CC0CE7">
        <w:rPr>
          <w:rFonts w:hint="eastAsia"/>
          <w:color w:val="000000" w:themeColor="text1"/>
        </w:rPr>
        <w:t>遭遇之困難：</w:t>
      </w:r>
    </w:p>
    <w:p w:rsidR="00230B77" w:rsidRPr="00CC0CE7" w:rsidRDefault="00230B77" w:rsidP="00230B77">
      <w:pPr>
        <w:pStyle w:val="4"/>
        <w:numPr>
          <w:ilvl w:val="3"/>
          <w:numId w:val="1"/>
        </w:numPr>
        <w:rPr>
          <w:color w:val="000000" w:themeColor="text1"/>
        </w:rPr>
      </w:pPr>
      <w:r w:rsidRPr="00CC0CE7">
        <w:rPr>
          <w:rFonts w:hint="eastAsia"/>
          <w:color w:val="000000" w:themeColor="text1"/>
        </w:rPr>
        <w:t>經濟部商業司調查發現：百貨公司及</w:t>
      </w:r>
      <w:r w:rsidRPr="00CC0CE7">
        <w:rPr>
          <w:color w:val="000000" w:themeColor="text1"/>
        </w:rPr>
        <w:t>OK</w:t>
      </w:r>
      <w:r w:rsidRPr="00CC0CE7">
        <w:rPr>
          <w:rFonts w:hint="eastAsia"/>
          <w:color w:val="000000" w:themeColor="text1"/>
        </w:rPr>
        <w:t>超商、</w:t>
      </w:r>
      <w:r w:rsidRPr="00CC0CE7">
        <w:rPr>
          <w:color w:val="000000" w:themeColor="text1"/>
        </w:rPr>
        <w:t>7-11</w:t>
      </w:r>
      <w:r w:rsidRPr="00CC0CE7">
        <w:rPr>
          <w:rFonts w:hint="eastAsia"/>
          <w:color w:val="000000" w:themeColor="text1"/>
        </w:rPr>
        <w:t>便利商店等業者均表示配合</w:t>
      </w:r>
      <w:proofErr w:type="gramStart"/>
      <w:r w:rsidRPr="00CC0CE7">
        <w:rPr>
          <w:rFonts w:hint="eastAsia"/>
          <w:color w:val="000000" w:themeColor="text1"/>
        </w:rPr>
        <w:t>政府減塑政策</w:t>
      </w:r>
      <w:proofErr w:type="gramEnd"/>
      <w:r w:rsidRPr="00CC0CE7">
        <w:rPr>
          <w:rFonts w:hint="eastAsia"/>
          <w:color w:val="000000" w:themeColor="text1"/>
        </w:rPr>
        <w:t>，其中</w:t>
      </w:r>
      <w:r w:rsidRPr="00CC0CE7">
        <w:rPr>
          <w:color w:val="000000" w:themeColor="text1"/>
        </w:rPr>
        <w:t>7-11</w:t>
      </w:r>
      <w:r w:rsidRPr="00CC0CE7">
        <w:rPr>
          <w:rFonts w:hint="eastAsia"/>
          <w:color w:val="000000" w:themeColor="text1"/>
        </w:rPr>
        <w:t>便利商店表示有尋找替代品及成本考量的問題，例如：找塑膠吸管的替代品時須考量成本及衛生問題。里仁超</w:t>
      </w:r>
      <w:proofErr w:type="gramStart"/>
      <w:r w:rsidRPr="00CC0CE7">
        <w:rPr>
          <w:rFonts w:hint="eastAsia"/>
          <w:color w:val="000000" w:themeColor="text1"/>
        </w:rPr>
        <w:t>巿</w:t>
      </w:r>
      <w:proofErr w:type="gramEnd"/>
      <w:r w:rsidRPr="00CC0CE7">
        <w:rPr>
          <w:rFonts w:hint="eastAsia"/>
          <w:color w:val="000000" w:themeColor="text1"/>
        </w:rPr>
        <w:t>表示「減少塑膠包材」</w:t>
      </w:r>
      <w:r w:rsidRPr="00CC0CE7">
        <w:rPr>
          <w:rFonts w:hint="eastAsia"/>
          <w:color w:val="000000" w:themeColor="text1"/>
        </w:rPr>
        <w:lastRenderedPageBreak/>
        <w:t>時面臨以下的挑戰：食品類：可能影響食品的保存與品質，甚至大幅增加生鮮蔬果的耗損率，造成食物的浪費。生活用品類：雖然没有食安的考量，但減用塑膠包裝後，也要確保商品在運送與陳列時，能夠有效防污防塵。</w:t>
      </w:r>
    </w:p>
    <w:p w:rsidR="00230B77" w:rsidRPr="00CC0CE7" w:rsidRDefault="00230B77" w:rsidP="00230B77">
      <w:pPr>
        <w:pStyle w:val="4"/>
        <w:numPr>
          <w:ilvl w:val="3"/>
          <w:numId w:val="1"/>
        </w:numPr>
        <w:rPr>
          <w:color w:val="000000" w:themeColor="text1"/>
        </w:rPr>
      </w:pPr>
      <w:r w:rsidRPr="00CC0CE7">
        <w:rPr>
          <w:rFonts w:hint="eastAsia"/>
          <w:color w:val="000000" w:themeColor="text1"/>
        </w:rPr>
        <w:t>經濟部工業局調查發現：部分小型塑膠袋工廠因轉型不易，已面臨生產與銷售量下滑，且因營收減少，甚至無法支應設備貸款及勞工資遣費用，業者要求行政院</w:t>
      </w:r>
      <w:proofErr w:type="gramStart"/>
      <w:r w:rsidRPr="00CC0CE7">
        <w:rPr>
          <w:rFonts w:hint="eastAsia"/>
          <w:color w:val="000000" w:themeColor="text1"/>
        </w:rPr>
        <w:t>環境保護署可提供</w:t>
      </w:r>
      <w:proofErr w:type="gramEnd"/>
      <w:r w:rsidRPr="00CC0CE7">
        <w:rPr>
          <w:rFonts w:hint="eastAsia"/>
          <w:color w:val="000000" w:themeColor="text1"/>
        </w:rPr>
        <w:t>政策性低利或優惠利率貸款，減輕廠商的目前設備利息負擔。部分工廠希望能朝轉型升級方向努力，目前政府機關未</w:t>
      </w:r>
      <w:proofErr w:type="gramStart"/>
      <w:r w:rsidRPr="00CC0CE7">
        <w:rPr>
          <w:rFonts w:hint="eastAsia"/>
          <w:color w:val="000000" w:themeColor="text1"/>
        </w:rPr>
        <w:t>針對限塑政策</w:t>
      </w:r>
      <w:proofErr w:type="gramEnd"/>
      <w:r w:rsidRPr="00CC0CE7">
        <w:rPr>
          <w:rFonts w:hint="eastAsia"/>
          <w:color w:val="000000" w:themeColor="text1"/>
        </w:rPr>
        <w:t xml:space="preserve">受影響之廠商，提供專案輔導措施。    </w:t>
      </w:r>
    </w:p>
    <w:p w:rsidR="00230B77" w:rsidRPr="00CC0CE7" w:rsidRDefault="00230B77" w:rsidP="00230B77">
      <w:pPr>
        <w:pStyle w:val="3"/>
        <w:numPr>
          <w:ilvl w:val="0"/>
          <w:numId w:val="0"/>
        </w:numPr>
        <w:ind w:left="1418" w:firstLineChars="208" w:firstLine="708"/>
        <w:rPr>
          <w:color w:val="000000" w:themeColor="text1"/>
        </w:rPr>
      </w:pPr>
      <w:r w:rsidRPr="00CC0CE7">
        <w:rPr>
          <w:rFonts w:hint="eastAsia"/>
          <w:color w:val="000000" w:themeColor="text1"/>
        </w:rPr>
        <w:t>依上調查顯示，環保署自91年推動塑膠產業轉型已長達17年，業界仍有「政府機關未</w:t>
      </w:r>
      <w:proofErr w:type="gramStart"/>
      <w:r w:rsidRPr="00CC0CE7">
        <w:rPr>
          <w:rFonts w:hint="eastAsia"/>
          <w:color w:val="000000" w:themeColor="text1"/>
        </w:rPr>
        <w:t>針對限塑政策</w:t>
      </w:r>
      <w:proofErr w:type="gramEnd"/>
      <w:r w:rsidRPr="00CC0CE7">
        <w:rPr>
          <w:rFonts w:hint="eastAsia"/>
          <w:color w:val="000000" w:themeColor="text1"/>
        </w:rPr>
        <w:t>受影響之廠商，提供專案輔導措施」之建議。</w:t>
      </w:r>
      <w:proofErr w:type="gramStart"/>
      <w:r w:rsidRPr="00CC0CE7">
        <w:rPr>
          <w:rFonts w:hint="eastAsia"/>
          <w:color w:val="000000" w:themeColor="text1"/>
        </w:rPr>
        <w:t>又限塑</w:t>
      </w:r>
      <w:proofErr w:type="gramEnd"/>
      <w:r w:rsidRPr="00CC0CE7">
        <w:rPr>
          <w:rFonts w:hint="eastAsia"/>
          <w:color w:val="000000" w:themeColor="text1"/>
        </w:rPr>
        <w:t>政策之推動亦乏商家販售所需之適當替代品等問題亟待解決。</w:t>
      </w:r>
    </w:p>
    <w:p w:rsidR="00230B77" w:rsidRPr="00CC0CE7" w:rsidRDefault="00230B77" w:rsidP="00230B77">
      <w:pPr>
        <w:pStyle w:val="3"/>
        <w:numPr>
          <w:ilvl w:val="2"/>
          <w:numId w:val="1"/>
        </w:numPr>
        <w:rPr>
          <w:color w:val="000000" w:themeColor="text1"/>
        </w:rPr>
      </w:pPr>
      <w:r w:rsidRPr="00CC0CE7">
        <w:rPr>
          <w:rFonts w:hint="eastAsia"/>
          <w:color w:val="000000" w:themeColor="text1"/>
        </w:rPr>
        <w:t>綜上，環保署於91年實施第一</w:t>
      </w:r>
      <w:proofErr w:type="gramStart"/>
      <w:r w:rsidRPr="00CC0CE7">
        <w:rPr>
          <w:rFonts w:hint="eastAsia"/>
          <w:color w:val="000000" w:themeColor="text1"/>
        </w:rPr>
        <w:t>波限塑</w:t>
      </w:r>
      <w:proofErr w:type="gramEnd"/>
      <w:r w:rsidRPr="00CC0CE7">
        <w:rPr>
          <w:rFonts w:hint="eastAsia"/>
          <w:color w:val="000000" w:themeColor="text1"/>
        </w:rPr>
        <w:t>措施後，在塑膠袋減少使用量上雖有初步成果，然</w:t>
      </w:r>
      <w:proofErr w:type="gramStart"/>
      <w:r w:rsidRPr="00CC0CE7">
        <w:rPr>
          <w:rFonts w:hint="eastAsia"/>
          <w:color w:val="000000" w:themeColor="text1"/>
        </w:rPr>
        <w:t>因限塑所採</w:t>
      </w:r>
      <w:proofErr w:type="gramEnd"/>
      <w:r w:rsidRPr="00CC0CE7">
        <w:rPr>
          <w:rFonts w:hint="eastAsia"/>
          <w:color w:val="000000" w:themeColor="text1"/>
        </w:rPr>
        <w:t>塑膠袋較厚，整體製造塑膠袋之塑膠用量是否因之減少及對環境影響，環保署並未考量。其後該署以國人消費特性，民眾於有店面餐飲業消費確有使用塑膠袋裝提外帶食物之必要，於95年修正公告取消有店面餐飲業管制，放寬限</w:t>
      </w:r>
      <w:proofErr w:type="gramStart"/>
      <w:r w:rsidRPr="00CC0CE7">
        <w:rPr>
          <w:rFonts w:hint="eastAsia"/>
          <w:color w:val="000000" w:themeColor="text1"/>
        </w:rPr>
        <w:t>塑</w:t>
      </w:r>
      <w:proofErr w:type="gramEnd"/>
      <w:r w:rsidRPr="00CC0CE7">
        <w:rPr>
          <w:rFonts w:hint="eastAsia"/>
          <w:color w:val="000000" w:themeColor="text1"/>
        </w:rPr>
        <w:t>措施，未能持續限制使用措施以</w:t>
      </w:r>
      <w:r w:rsidR="00C03E81" w:rsidRPr="00CC0CE7">
        <w:rPr>
          <w:rFonts w:hint="eastAsia"/>
          <w:color w:val="000000" w:themeColor="text1"/>
        </w:rPr>
        <w:t>澈底</w:t>
      </w:r>
      <w:r w:rsidRPr="00CC0CE7">
        <w:rPr>
          <w:rFonts w:hint="eastAsia"/>
          <w:color w:val="000000" w:themeColor="text1"/>
        </w:rPr>
        <w:t>改變民眾使用習慣，有違廢棄物清理法第21條及延宕立法院第4屆第6會期第3次會議修正廢棄物清理法時，通過6項附帶決議之塑膠袋禁用時程，顯有</w:t>
      </w:r>
      <w:proofErr w:type="gramStart"/>
      <w:r w:rsidRPr="00CC0CE7">
        <w:rPr>
          <w:rFonts w:hint="eastAsia"/>
          <w:color w:val="000000" w:themeColor="text1"/>
        </w:rPr>
        <w:t>怠</w:t>
      </w:r>
      <w:proofErr w:type="gramEnd"/>
      <w:r w:rsidRPr="00CC0CE7">
        <w:rPr>
          <w:rFonts w:hint="eastAsia"/>
          <w:color w:val="000000" w:themeColor="text1"/>
        </w:rPr>
        <w:t>失；</w:t>
      </w:r>
      <w:proofErr w:type="gramStart"/>
      <w:r w:rsidRPr="00CC0CE7">
        <w:rPr>
          <w:rFonts w:hint="eastAsia"/>
          <w:color w:val="000000" w:themeColor="text1"/>
        </w:rPr>
        <w:t>再依近10年</w:t>
      </w:r>
      <w:proofErr w:type="gramEnd"/>
      <w:r w:rsidRPr="00CC0CE7">
        <w:rPr>
          <w:rFonts w:hint="eastAsia"/>
          <w:color w:val="000000" w:themeColor="text1"/>
        </w:rPr>
        <w:t>國內塑膠袋</w:t>
      </w:r>
      <w:proofErr w:type="gramStart"/>
      <w:r w:rsidRPr="00CC0CE7">
        <w:rPr>
          <w:rFonts w:hint="eastAsia"/>
          <w:color w:val="000000" w:themeColor="text1"/>
        </w:rPr>
        <w:t>使用量觀之</w:t>
      </w:r>
      <w:proofErr w:type="gramEnd"/>
      <w:r w:rsidRPr="00CC0CE7">
        <w:rPr>
          <w:rFonts w:hint="eastAsia"/>
          <w:color w:val="000000" w:themeColor="text1"/>
        </w:rPr>
        <w:t>，歷年國內生產量不但有呈現增加之趨勢，國</w:t>
      </w:r>
      <w:r w:rsidRPr="00CC0CE7">
        <w:rPr>
          <w:rFonts w:hint="eastAsia"/>
          <w:color w:val="000000" w:themeColor="text1"/>
        </w:rPr>
        <w:lastRenderedPageBreak/>
        <w:t>內所生產之塑膠袋內銷量亦有呈現增加之趨勢，顯示，環保署在</w:t>
      </w:r>
      <w:proofErr w:type="gramStart"/>
      <w:r w:rsidRPr="00CC0CE7">
        <w:rPr>
          <w:rFonts w:hint="eastAsia"/>
          <w:color w:val="000000" w:themeColor="text1"/>
        </w:rPr>
        <w:t>推動限塑多年</w:t>
      </w:r>
      <w:proofErr w:type="gramEnd"/>
      <w:r w:rsidRPr="00CC0CE7">
        <w:rPr>
          <w:rFonts w:hint="eastAsia"/>
          <w:color w:val="000000" w:themeColor="text1"/>
        </w:rPr>
        <w:t>，國內塑膠袋整體生產及使用量不減反增，破壞生態，造成環境衝擊；與此同時，國際間許多國家或城市，在</w:t>
      </w:r>
      <w:proofErr w:type="gramStart"/>
      <w:r w:rsidRPr="00CC0CE7">
        <w:rPr>
          <w:rFonts w:hint="eastAsia"/>
          <w:color w:val="000000" w:themeColor="text1"/>
        </w:rPr>
        <w:t>限塑上</w:t>
      </w:r>
      <w:proofErr w:type="gramEnd"/>
      <w:r w:rsidRPr="00CC0CE7">
        <w:rPr>
          <w:rFonts w:hint="eastAsia"/>
          <w:color w:val="000000" w:themeColor="text1"/>
        </w:rPr>
        <w:t>已紛紛</w:t>
      </w:r>
      <w:proofErr w:type="gramStart"/>
      <w:r w:rsidRPr="00CC0CE7">
        <w:rPr>
          <w:rFonts w:hint="eastAsia"/>
          <w:color w:val="000000" w:themeColor="text1"/>
        </w:rPr>
        <w:t>採</w:t>
      </w:r>
      <w:proofErr w:type="gramEnd"/>
      <w:r w:rsidRPr="00CC0CE7">
        <w:rPr>
          <w:rFonts w:hint="eastAsia"/>
          <w:color w:val="000000" w:themeColor="text1"/>
        </w:rPr>
        <w:t>行較我國更積極的具體限制措施。另環保署自91年推動塑膠產業轉型已長達17年，迄今商家販售未有普及適當替代品及業界尚有「政府機關未</w:t>
      </w:r>
      <w:proofErr w:type="gramStart"/>
      <w:r w:rsidRPr="00CC0CE7">
        <w:rPr>
          <w:rFonts w:hint="eastAsia"/>
          <w:color w:val="000000" w:themeColor="text1"/>
        </w:rPr>
        <w:t>針對限塑政策</w:t>
      </w:r>
      <w:proofErr w:type="gramEnd"/>
      <w:r w:rsidRPr="00CC0CE7">
        <w:rPr>
          <w:rFonts w:hint="eastAsia"/>
          <w:color w:val="000000" w:themeColor="text1"/>
        </w:rPr>
        <w:t>受影響之廠商，提供專案輔導措施」之困境亟待解決，</w:t>
      </w:r>
      <w:proofErr w:type="gramStart"/>
      <w:r w:rsidRPr="00CC0CE7">
        <w:rPr>
          <w:rFonts w:hint="eastAsia"/>
          <w:color w:val="000000" w:themeColor="text1"/>
        </w:rPr>
        <w:t>限塑政策</w:t>
      </w:r>
      <w:proofErr w:type="gramEnd"/>
      <w:r w:rsidRPr="00CC0CE7">
        <w:rPr>
          <w:rFonts w:hint="eastAsia"/>
          <w:color w:val="000000" w:themeColor="text1"/>
        </w:rPr>
        <w:t>推動多年，環保署仍未解決商家及業界相關問題給予配套措施，難辭執行不力之</w:t>
      </w:r>
      <w:proofErr w:type="gramStart"/>
      <w:r w:rsidRPr="00CC0CE7">
        <w:rPr>
          <w:rFonts w:hint="eastAsia"/>
          <w:color w:val="000000" w:themeColor="text1"/>
        </w:rPr>
        <w:t>咎</w:t>
      </w:r>
      <w:proofErr w:type="gramEnd"/>
      <w:r w:rsidRPr="00CC0CE7">
        <w:rPr>
          <w:rFonts w:hint="eastAsia"/>
          <w:color w:val="000000" w:themeColor="text1"/>
        </w:rPr>
        <w:t>。</w:t>
      </w:r>
    </w:p>
    <w:p w:rsidR="00230B77" w:rsidRPr="00CC0CE7" w:rsidRDefault="009B38F6" w:rsidP="00F77295">
      <w:pPr>
        <w:pStyle w:val="2"/>
        <w:numPr>
          <w:ilvl w:val="1"/>
          <w:numId w:val="1"/>
        </w:numPr>
        <w:spacing w:beforeLines="100" w:before="457"/>
        <w:ind w:left="1020" w:hanging="680"/>
        <w:rPr>
          <w:b w:val="0"/>
          <w:color w:val="000000" w:themeColor="text1"/>
        </w:rPr>
      </w:pPr>
      <w:r w:rsidRPr="00CC0CE7">
        <w:rPr>
          <w:rFonts w:hint="eastAsia"/>
          <w:color w:val="000000" w:themeColor="text1"/>
        </w:rPr>
        <w:t>塑膠袋主要材質雖為一般廢棄物應回收項目，然依環保署歷次公告，「塑膠類」項目之回收皆不包含塑膠袋，雖部分地方政府有增訂納為回收項目進行回收，但於回收執行上，因塑膠袋後端處理廠不足，缺乏回收誘因而廠商回收意願低，</w:t>
      </w:r>
      <w:proofErr w:type="gramStart"/>
      <w:r w:rsidRPr="00CC0CE7">
        <w:rPr>
          <w:rFonts w:hint="eastAsia"/>
          <w:color w:val="000000" w:themeColor="text1"/>
        </w:rPr>
        <w:t>又限塑</w:t>
      </w:r>
      <w:proofErr w:type="gramEnd"/>
      <w:r w:rsidRPr="00CC0CE7">
        <w:rPr>
          <w:rFonts w:hint="eastAsia"/>
          <w:color w:val="000000" w:themeColor="text1"/>
        </w:rPr>
        <w:t>政策源頭管制民眾使用上之闕漏及歷年宣導教育未能有效澈底改變</w:t>
      </w:r>
      <w:r w:rsidRPr="00CC0CE7">
        <w:rPr>
          <w:color w:val="000000" w:themeColor="text1"/>
        </w:rPr>
        <w:t>民眾</w:t>
      </w:r>
      <w:r w:rsidRPr="00CC0CE7">
        <w:rPr>
          <w:rFonts w:hint="eastAsia"/>
          <w:color w:val="000000" w:themeColor="text1"/>
        </w:rPr>
        <w:t>使用行為，使回收循環機制不</w:t>
      </w:r>
      <w:proofErr w:type="gramStart"/>
      <w:r w:rsidRPr="00CC0CE7">
        <w:rPr>
          <w:rFonts w:hint="eastAsia"/>
          <w:color w:val="000000" w:themeColor="text1"/>
        </w:rPr>
        <w:t>健全，</w:t>
      </w:r>
      <w:proofErr w:type="gramEnd"/>
      <w:r w:rsidRPr="00CC0CE7">
        <w:rPr>
          <w:rFonts w:hint="eastAsia"/>
          <w:color w:val="000000" w:themeColor="text1"/>
        </w:rPr>
        <w:t>亟待改善。另環保署雖推動資源回收及垃圾強制分類多年，然地方縣市政府環保單位在執行上，有以當作一般垃圾丟棄或把民眾分類的回收物回收後，混雜以統包方式之單一價格賣給回收業者，在垃圾分類及資源回收端之執行，背離我國多年推動之環保政策，為提高回收商資源回收意願及回收資源利用性，環保署應予建立資源回收物分流管理，並善盡監督縣市政府環保單位落實執行之責</w:t>
      </w:r>
    </w:p>
    <w:p w:rsidR="00230B77" w:rsidRPr="00CC0CE7" w:rsidRDefault="00230B77" w:rsidP="00230B77">
      <w:pPr>
        <w:pStyle w:val="3"/>
        <w:numPr>
          <w:ilvl w:val="2"/>
          <w:numId w:val="1"/>
        </w:numPr>
        <w:rPr>
          <w:color w:val="000000" w:themeColor="text1"/>
        </w:rPr>
      </w:pPr>
      <w:r w:rsidRPr="00CC0CE7">
        <w:rPr>
          <w:rFonts w:hint="eastAsia"/>
          <w:color w:val="000000" w:themeColor="text1"/>
        </w:rPr>
        <w:t>依據93年6月2日修正之廢棄物清理法第5條規定：「…</w:t>
      </w:r>
      <w:proofErr w:type="gramStart"/>
      <w:r w:rsidRPr="00CC0CE7">
        <w:rPr>
          <w:rFonts w:hint="eastAsia"/>
          <w:color w:val="000000" w:themeColor="text1"/>
        </w:rPr>
        <w:t>…</w:t>
      </w:r>
      <w:proofErr w:type="gramEnd"/>
      <w:r w:rsidRPr="00CC0CE7">
        <w:rPr>
          <w:rFonts w:hint="eastAsia"/>
          <w:color w:val="000000" w:themeColor="text1"/>
        </w:rPr>
        <w:t>執行機關應設專責單位，辦理一般廢棄物之回收、清除、處理及廢棄物稽查工作。（第2項）…</w:t>
      </w:r>
      <w:proofErr w:type="gramStart"/>
      <w:r w:rsidRPr="00CC0CE7">
        <w:rPr>
          <w:rFonts w:hint="eastAsia"/>
          <w:color w:val="000000" w:themeColor="text1"/>
        </w:rPr>
        <w:t>…</w:t>
      </w:r>
      <w:proofErr w:type="gramEnd"/>
      <w:r w:rsidRPr="00CC0CE7">
        <w:rPr>
          <w:rFonts w:hint="eastAsia"/>
          <w:color w:val="000000" w:themeColor="text1"/>
        </w:rPr>
        <w:lastRenderedPageBreak/>
        <w:t>第2項一般廢棄物回收項目，由中央主管機關定之。但直轄市、縣 (市) 主管機關得視轄區內特殊需要，增訂其他一般廢棄物回收項目，報請中央主管機關備查。（第6項）」</w:t>
      </w:r>
      <w:proofErr w:type="gramStart"/>
      <w:r w:rsidRPr="00CC0CE7">
        <w:rPr>
          <w:rFonts w:hint="eastAsia"/>
          <w:color w:val="000000" w:themeColor="text1"/>
        </w:rPr>
        <w:t>次依環保署</w:t>
      </w:r>
      <w:proofErr w:type="gramEnd"/>
      <w:r w:rsidRPr="00CC0CE7">
        <w:rPr>
          <w:rFonts w:hint="eastAsia"/>
          <w:color w:val="000000" w:themeColor="text1"/>
        </w:rPr>
        <w:t>95年4月17日公告「執行機關一般廢棄物應回收項目」公告事項：「一、一般廢棄物應回收項目：(</w:t>
      </w:r>
      <w:proofErr w:type="gramStart"/>
      <w:r w:rsidRPr="00CC0CE7">
        <w:rPr>
          <w:rFonts w:hint="eastAsia"/>
          <w:color w:val="000000" w:themeColor="text1"/>
        </w:rPr>
        <w:t>一</w:t>
      </w:r>
      <w:proofErr w:type="gramEnd"/>
      <w:r w:rsidRPr="00CC0CE7">
        <w:rPr>
          <w:rFonts w:hint="eastAsia"/>
          <w:color w:val="000000" w:themeColor="text1"/>
        </w:rPr>
        <w:t xml:space="preserve">) 紙類（含鋁箔包、紙容器）。(二) </w:t>
      </w:r>
      <w:proofErr w:type="gramStart"/>
      <w:r w:rsidRPr="00CC0CE7">
        <w:rPr>
          <w:rFonts w:hint="eastAsia"/>
          <w:color w:val="000000" w:themeColor="text1"/>
        </w:rPr>
        <w:t>鐵類</w:t>
      </w:r>
      <w:proofErr w:type="gramEnd"/>
      <w:r w:rsidRPr="00CC0CE7">
        <w:rPr>
          <w:rFonts w:hint="eastAsia"/>
          <w:color w:val="000000" w:themeColor="text1"/>
        </w:rPr>
        <w:t xml:space="preserve">。(三) </w:t>
      </w:r>
      <w:proofErr w:type="gramStart"/>
      <w:r w:rsidRPr="00CC0CE7">
        <w:rPr>
          <w:rFonts w:hint="eastAsia"/>
          <w:color w:val="000000" w:themeColor="text1"/>
        </w:rPr>
        <w:t>鋁類</w:t>
      </w:r>
      <w:proofErr w:type="gramEnd"/>
      <w:r w:rsidRPr="00CC0CE7">
        <w:rPr>
          <w:rFonts w:hint="eastAsia"/>
          <w:color w:val="000000" w:themeColor="text1"/>
        </w:rPr>
        <w:t>。(四) 玻璃類。(五) 塑膠類（不含塑膠袋）。1、聚乙烯對苯二甲</w:t>
      </w:r>
      <w:proofErr w:type="gramStart"/>
      <w:r w:rsidRPr="00CC0CE7">
        <w:rPr>
          <w:rFonts w:hint="eastAsia"/>
          <w:color w:val="000000" w:themeColor="text1"/>
        </w:rPr>
        <w:t>酸酯(</w:t>
      </w:r>
      <w:proofErr w:type="gramEnd"/>
      <w:r w:rsidRPr="00CC0CE7">
        <w:rPr>
          <w:rFonts w:hint="eastAsia"/>
          <w:color w:val="000000" w:themeColor="text1"/>
        </w:rPr>
        <w:t>polyethylene terephthalate；PET)。2、聚乙烯(polyethylene；PE)。3、聚氯乙烯(polyvinyl chloride；PVC)。4、聚丙烯(polypropylene；PP)。5、聚苯乙烯(polystyrene；PS)。…</w:t>
      </w:r>
      <w:proofErr w:type="gramStart"/>
      <w:r w:rsidRPr="00CC0CE7">
        <w:rPr>
          <w:rFonts w:hint="eastAsia"/>
          <w:color w:val="000000" w:themeColor="text1"/>
        </w:rPr>
        <w:t>…</w:t>
      </w:r>
      <w:proofErr w:type="gramEnd"/>
      <w:r w:rsidRPr="00CC0CE7">
        <w:rPr>
          <w:rFonts w:hint="eastAsia"/>
          <w:color w:val="000000" w:themeColor="text1"/>
        </w:rPr>
        <w:t>。」另依</w:t>
      </w:r>
      <w:hyperlink r:id="rId9" w:history="1">
        <w:r w:rsidRPr="00CC0CE7">
          <w:rPr>
            <w:rStyle w:val="ae"/>
            <w:rFonts w:hint="eastAsia"/>
            <w:color w:val="000000" w:themeColor="text1"/>
            <w:u w:val="none"/>
          </w:rPr>
          <w:t>一般廢棄物回收清除處理辦法</w:t>
        </w:r>
      </w:hyperlink>
      <w:r w:rsidRPr="00CC0CE7">
        <w:rPr>
          <w:rFonts w:hint="eastAsia"/>
          <w:color w:val="000000" w:themeColor="text1"/>
        </w:rPr>
        <w:t>第5條規定:</w:t>
      </w:r>
      <w:r w:rsidRPr="00CC0CE7">
        <w:rPr>
          <w:rFonts w:hAnsi="標楷體" w:hint="eastAsia"/>
          <w:color w:val="000000" w:themeColor="text1"/>
        </w:rPr>
        <w:t>「資源垃圾回收貯存場所，除應符合前條規定外，並應符合下列規定：一、貯存容器、設施依所存放之資源垃圾種類分別貯存，並以中文標示。二、經完成分類之資源垃圾置於分區貯存格。</w:t>
      </w:r>
      <w:r w:rsidRPr="00CC0CE7">
        <w:rPr>
          <w:rFonts w:hAnsi="標楷體"/>
          <w:color w:val="000000" w:themeColor="text1"/>
        </w:rPr>
        <w:t>…</w:t>
      </w:r>
      <w:proofErr w:type="gramStart"/>
      <w:r w:rsidRPr="00CC0CE7">
        <w:rPr>
          <w:rFonts w:hAnsi="標楷體"/>
          <w:color w:val="000000" w:themeColor="text1"/>
        </w:rPr>
        <w:t>…</w:t>
      </w:r>
      <w:proofErr w:type="gramEnd"/>
      <w:r w:rsidRPr="00CC0CE7">
        <w:rPr>
          <w:rFonts w:hAnsi="標楷體" w:hint="eastAsia"/>
          <w:color w:val="000000" w:themeColor="text1"/>
        </w:rPr>
        <w:t>」</w:t>
      </w:r>
    </w:p>
    <w:p w:rsidR="00230B77" w:rsidRPr="00CC0CE7" w:rsidRDefault="00230B77" w:rsidP="00230B77">
      <w:pPr>
        <w:pStyle w:val="3"/>
        <w:numPr>
          <w:ilvl w:val="2"/>
          <w:numId w:val="1"/>
        </w:numPr>
        <w:rPr>
          <w:color w:val="000000" w:themeColor="text1"/>
        </w:rPr>
      </w:pPr>
      <w:proofErr w:type="gramStart"/>
      <w:r w:rsidRPr="00CC0CE7">
        <w:rPr>
          <w:rFonts w:hint="eastAsia"/>
          <w:color w:val="000000" w:themeColor="text1"/>
        </w:rPr>
        <w:t>經查上開</w:t>
      </w:r>
      <w:proofErr w:type="gramEnd"/>
      <w:r w:rsidRPr="00CC0CE7">
        <w:rPr>
          <w:rFonts w:hint="eastAsia"/>
          <w:color w:val="000000" w:themeColor="text1"/>
        </w:rPr>
        <w:t>「執行機關一般廢棄物應回收項目」分別於97年10月30日公告新增行動電話充電器（包括座充及旅充）；及103年10月24日公告增列食用油為執行機關一般廢棄物應回收項目。次查塑膠袋主要材質為：PE(含LDPE、HDPE)、PP、PET、PVC，為前開一般廢棄物應回收項目，</w:t>
      </w:r>
      <w:proofErr w:type="gramStart"/>
      <w:r w:rsidRPr="00CC0CE7">
        <w:rPr>
          <w:rFonts w:hint="eastAsia"/>
          <w:color w:val="000000" w:themeColor="text1"/>
        </w:rPr>
        <w:t>然查目前</w:t>
      </w:r>
      <w:proofErr w:type="gramEnd"/>
      <w:r w:rsidRPr="00CC0CE7">
        <w:rPr>
          <w:rFonts w:hint="eastAsia"/>
          <w:color w:val="000000" w:themeColor="text1"/>
        </w:rPr>
        <w:t>所公告之回收項目，「塑膠類」不包含塑膠袋。據環保署表示</w:t>
      </w:r>
      <w:r w:rsidRPr="00CC0CE7">
        <w:rPr>
          <w:rStyle w:val="afc"/>
          <w:color w:val="000000" w:themeColor="text1"/>
        </w:rPr>
        <w:footnoteReference w:id="7"/>
      </w:r>
      <w:r w:rsidRPr="00CC0CE7">
        <w:rPr>
          <w:rFonts w:hint="eastAsia"/>
          <w:color w:val="000000" w:themeColor="text1"/>
        </w:rPr>
        <w:t>：自95年起與各地方政府合作陸續開始試辦塑膠袋回收試辦計畫，惟因市面上塑膠袋種類繁多，且塑膠袋之乾淨程度及複合性質將影響回收後再利用製成</w:t>
      </w:r>
      <w:r w:rsidRPr="00CC0CE7">
        <w:rPr>
          <w:rFonts w:hint="eastAsia"/>
          <w:color w:val="000000" w:themeColor="text1"/>
        </w:rPr>
        <w:lastRenderedPageBreak/>
        <w:t>二次塑膠粒之良率，故地方政府大多依其是否乾淨(不含液體與雜質)與複合性質予以回收；可回收者如：購物袋、垃圾袋、夾</w:t>
      </w:r>
      <w:proofErr w:type="gramStart"/>
      <w:r w:rsidRPr="00CC0CE7">
        <w:rPr>
          <w:rFonts w:hint="eastAsia"/>
          <w:color w:val="000000" w:themeColor="text1"/>
        </w:rPr>
        <w:t>鍊</w:t>
      </w:r>
      <w:proofErr w:type="gramEnd"/>
      <w:r w:rsidRPr="00CC0CE7">
        <w:rPr>
          <w:rFonts w:hint="eastAsia"/>
          <w:color w:val="000000" w:themeColor="text1"/>
        </w:rPr>
        <w:t>袋、背心袋、打包帶等；不可回收者則為：內層為錫箔、鋁箔、其他不同材質或防靜電的化學物質等複合材質塑膠袋，因目前技術尚無法回收。另表示</w:t>
      </w:r>
      <w:r w:rsidRPr="00CC0CE7">
        <w:rPr>
          <w:rStyle w:val="afc"/>
          <w:color w:val="000000" w:themeColor="text1"/>
        </w:rPr>
        <w:footnoteReference w:id="8"/>
      </w:r>
      <w:r w:rsidRPr="00CC0CE7">
        <w:rPr>
          <w:rFonts w:hint="eastAsia"/>
          <w:color w:val="000000" w:themeColor="text1"/>
        </w:rPr>
        <w:t>：「我國自95年實施廢塑膠袋試辦回收，至97年3月底總共回收9,319公噸。各縣市依廢棄物清理法第5條第6項自行增訂執行機關回收項目，計有新北市、桃園市、</w:t>
      </w:r>
      <w:proofErr w:type="gramStart"/>
      <w:r w:rsidRPr="00CC0CE7">
        <w:rPr>
          <w:rFonts w:hint="eastAsia"/>
          <w:color w:val="000000" w:themeColor="text1"/>
        </w:rPr>
        <w:t>臺</w:t>
      </w:r>
      <w:proofErr w:type="gramEnd"/>
      <w:r w:rsidRPr="00CC0CE7">
        <w:rPr>
          <w:rFonts w:hint="eastAsia"/>
          <w:color w:val="000000" w:themeColor="text1"/>
        </w:rPr>
        <w:t>中市、</w:t>
      </w:r>
      <w:proofErr w:type="gramStart"/>
      <w:r w:rsidRPr="00CC0CE7">
        <w:rPr>
          <w:rFonts w:hint="eastAsia"/>
          <w:color w:val="000000" w:themeColor="text1"/>
        </w:rPr>
        <w:t>臺</w:t>
      </w:r>
      <w:proofErr w:type="gramEnd"/>
      <w:r w:rsidRPr="00CC0CE7">
        <w:rPr>
          <w:rFonts w:hint="eastAsia"/>
          <w:color w:val="000000" w:themeColor="text1"/>
        </w:rPr>
        <w:t>南市、宜蘭縣及連江縣公告，106年約回收5,300公噸。」</w:t>
      </w:r>
    </w:p>
    <w:p w:rsidR="00230B77" w:rsidRPr="00CC0CE7" w:rsidRDefault="00230B77" w:rsidP="00230B77">
      <w:pPr>
        <w:pStyle w:val="3"/>
        <w:numPr>
          <w:ilvl w:val="2"/>
          <w:numId w:val="1"/>
        </w:numPr>
        <w:rPr>
          <w:color w:val="000000" w:themeColor="text1"/>
        </w:rPr>
      </w:pPr>
      <w:r w:rsidRPr="00CC0CE7">
        <w:rPr>
          <w:rFonts w:hint="eastAsia"/>
          <w:color w:val="000000" w:themeColor="text1"/>
        </w:rPr>
        <w:t>然據回收業者公開指出</w:t>
      </w:r>
      <w:r w:rsidRPr="00CC0CE7">
        <w:rPr>
          <w:rStyle w:val="afc"/>
          <w:rFonts w:hAnsi="標楷體"/>
          <w:color w:val="000000" w:themeColor="text1"/>
        </w:rPr>
        <w:footnoteReference w:id="9"/>
      </w:r>
      <w:r w:rsidRPr="00CC0CE7">
        <w:rPr>
          <w:rFonts w:hint="eastAsia"/>
          <w:color w:val="000000" w:themeColor="text1"/>
        </w:rPr>
        <w:t>：「公所清潔隊收來的資源回收物都會標售，再由業者跟政府購買，但</w:t>
      </w:r>
      <w:proofErr w:type="gramStart"/>
      <w:r w:rsidRPr="00CC0CE7">
        <w:rPr>
          <w:rFonts w:hint="eastAsia"/>
          <w:color w:val="000000" w:themeColor="text1"/>
        </w:rPr>
        <w:t>類目只載</w:t>
      </w:r>
      <w:proofErr w:type="gramEnd"/>
      <w:r w:rsidRPr="00CC0CE7">
        <w:rPr>
          <w:rFonts w:hint="eastAsia"/>
          <w:color w:val="000000" w:themeColor="text1"/>
        </w:rPr>
        <w:t>明『塑膠』，沒有細分塑膠瓶、塑膠蓋或塑膠袋，業者所有的『塑膠』都要收。實際上塑膠袋根本就沒什價值，業者收了以後，不能隨意丟棄，也沒有去處，花錢買了回收物，有些還要自己花錢送去焚化爐燒掉，但有的焚化爐也不收。他的環保站在</w:t>
      </w:r>
      <w:proofErr w:type="gramStart"/>
      <w:r w:rsidRPr="00CC0CE7">
        <w:rPr>
          <w:rFonts w:hint="eastAsia"/>
          <w:color w:val="000000" w:themeColor="text1"/>
        </w:rPr>
        <w:t>北部，</w:t>
      </w:r>
      <w:proofErr w:type="gramEnd"/>
      <w:r w:rsidRPr="00CC0CE7">
        <w:rPr>
          <w:rFonts w:hint="eastAsia"/>
          <w:color w:val="000000" w:themeColor="text1"/>
        </w:rPr>
        <w:t>光塑膠袋就屯積了幾百公噸，『不知道應該放哪裡』。」；另一中部環保公司員工表示</w:t>
      </w:r>
      <w:r w:rsidRPr="00CC0CE7">
        <w:rPr>
          <w:rStyle w:val="afc"/>
          <w:color w:val="000000" w:themeColor="text1"/>
        </w:rPr>
        <w:footnoteReference w:id="10"/>
      </w:r>
      <w:r w:rsidRPr="00CC0CE7">
        <w:rPr>
          <w:rFonts w:hint="eastAsia"/>
          <w:color w:val="000000" w:themeColor="text1"/>
        </w:rPr>
        <w:t>：「公司與地方環保局簽約，會統包清潔隊收的各式回收物，包括鐵罐、鋁罐、塑膠袋等，但塑膠袋後端幾乎沒有人處理。回收的塑膠袋材質</w:t>
      </w:r>
      <w:proofErr w:type="gramStart"/>
      <w:r w:rsidRPr="00CC0CE7">
        <w:rPr>
          <w:rFonts w:hint="eastAsia"/>
          <w:color w:val="000000" w:themeColor="text1"/>
        </w:rPr>
        <w:t>其實很雜</w:t>
      </w:r>
      <w:proofErr w:type="gramEnd"/>
      <w:r w:rsidRPr="00CC0CE7">
        <w:rPr>
          <w:rFonts w:hint="eastAsia"/>
          <w:color w:val="000000" w:themeColor="text1"/>
        </w:rPr>
        <w:t>，很多還有油墨、</w:t>
      </w:r>
      <w:proofErr w:type="gramStart"/>
      <w:r w:rsidRPr="00CC0CE7">
        <w:rPr>
          <w:rFonts w:hint="eastAsia"/>
          <w:color w:val="000000" w:themeColor="text1"/>
        </w:rPr>
        <w:t>髒</w:t>
      </w:r>
      <w:proofErr w:type="gramEnd"/>
      <w:r w:rsidRPr="00CC0CE7">
        <w:rPr>
          <w:rFonts w:hint="eastAsia"/>
          <w:color w:val="000000" w:themeColor="text1"/>
        </w:rPr>
        <w:t>污等，根本沒辦法處理；業者經過打包、分類後，只能先壓縮暫時堆放在廠內，至今已經累積將近3,000公噸。並指出，自從中國大陸禁止接收各國的垃圾後，包括歐美、日本等國的所謂『洋垃圾』</w:t>
      </w:r>
      <w:r w:rsidRPr="00CC0CE7">
        <w:rPr>
          <w:rFonts w:hint="eastAsia"/>
          <w:color w:val="000000" w:themeColor="text1"/>
        </w:rPr>
        <w:lastRenderedPageBreak/>
        <w:t>就輾轉來</w:t>
      </w:r>
      <w:proofErr w:type="gramStart"/>
      <w:r w:rsidRPr="00CC0CE7">
        <w:rPr>
          <w:rFonts w:hint="eastAsia"/>
          <w:color w:val="000000" w:themeColor="text1"/>
        </w:rPr>
        <w:t>臺</w:t>
      </w:r>
      <w:proofErr w:type="gramEnd"/>
      <w:r w:rsidRPr="00CC0CE7">
        <w:rPr>
          <w:rFonts w:hint="eastAsia"/>
          <w:color w:val="000000" w:themeColor="text1"/>
        </w:rPr>
        <w:t>。相較於國內的塑膠袋和塑膠膜，國外材質相對穩定、有回收價值，造成國內塑膠袋回收的排擠效應。政府應該輔導業者為去化塑膠袋找出路，製造業者也要付起責任。」</w:t>
      </w:r>
    </w:p>
    <w:p w:rsidR="00230B77" w:rsidRPr="00CC0CE7" w:rsidRDefault="00230B77" w:rsidP="00230B77">
      <w:pPr>
        <w:pStyle w:val="3"/>
        <w:numPr>
          <w:ilvl w:val="2"/>
          <w:numId w:val="1"/>
        </w:numPr>
        <w:rPr>
          <w:color w:val="000000" w:themeColor="text1"/>
        </w:rPr>
      </w:pPr>
      <w:r w:rsidRPr="00CC0CE7">
        <w:rPr>
          <w:rFonts w:hint="eastAsia"/>
          <w:color w:val="000000" w:themeColor="text1"/>
        </w:rPr>
        <w:t>再據</w:t>
      </w:r>
      <w:r w:rsidR="008E4F0C" w:rsidRPr="00CC0CE7">
        <w:rPr>
          <w:rFonts w:hint="eastAsia"/>
          <w:color w:val="000000" w:themeColor="text1"/>
        </w:rPr>
        <w:t>雲林縣</w:t>
      </w:r>
      <w:r w:rsidRPr="00CC0CE7">
        <w:rPr>
          <w:rFonts w:hint="eastAsia"/>
          <w:color w:val="000000" w:themeColor="text1"/>
        </w:rPr>
        <w:t>虎尾</w:t>
      </w:r>
      <w:r w:rsidR="008E4F0C" w:rsidRPr="00CC0CE7">
        <w:rPr>
          <w:rFonts w:hint="eastAsia"/>
          <w:color w:val="000000" w:themeColor="text1"/>
        </w:rPr>
        <w:t>鎮</w:t>
      </w:r>
      <w:r w:rsidRPr="00CC0CE7">
        <w:rPr>
          <w:rFonts w:hint="eastAsia"/>
          <w:color w:val="000000" w:themeColor="text1"/>
        </w:rPr>
        <w:t>清潔</w:t>
      </w:r>
      <w:proofErr w:type="gramStart"/>
      <w:r w:rsidRPr="00CC0CE7">
        <w:rPr>
          <w:rFonts w:hint="eastAsia"/>
          <w:color w:val="000000" w:themeColor="text1"/>
        </w:rPr>
        <w:t>隊</w:t>
      </w:r>
      <w:proofErr w:type="gramEnd"/>
      <w:r w:rsidRPr="00CC0CE7">
        <w:rPr>
          <w:rFonts w:hint="eastAsia"/>
          <w:color w:val="000000" w:themeColor="text1"/>
        </w:rPr>
        <w:t>隊長黃富義公開說明</w:t>
      </w:r>
      <w:r w:rsidRPr="00CC0CE7">
        <w:rPr>
          <w:rStyle w:val="afc"/>
          <w:color w:val="000000" w:themeColor="text1"/>
        </w:rPr>
        <w:footnoteReference w:id="11"/>
      </w:r>
      <w:r w:rsidRPr="00CC0CE7">
        <w:rPr>
          <w:rFonts w:hint="eastAsia"/>
          <w:color w:val="000000" w:themeColor="text1"/>
        </w:rPr>
        <w:t>：</w:t>
      </w:r>
      <w:r w:rsidRPr="00CC0CE7">
        <w:rPr>
          <w:rFonts w:hAnsi="標楷體" w:hint="eastAsia"/>
          <w:color w:val="000000" w:themeColor="text1"/>
        </w:rPr>
        <w:t>「</w:t>
      </w:r>
      <w:r w:rsidRPr="00CC0CE7">
        <w:rPr>
          <w:rFonts w:hint="eastAsia"/>
          <w:color w:val="000000" w:themeColor="text1"/>
        </w:rPr>
        <w:t>乾淨的塑膠袋一直有在回收，但當中會有</w:t>
      </w:r>
      <w:proofErr w:type="gramStart"/>
      <w:r w:rsidRPr="00CC0CE7">
        <w:rPr>
          <w:rFonts w:hint="eastAsia"/>
          <w:color w:val="000000" w:themeColor="text1"/>
        </w:rPr>
        <w:t>髒</w:t>
      </w:r>
      <w:proofErr w:type="gramEnd"/>
      <w:r w:rsidRPr="00CC0CE7">
        <w:rPr>
          <w:rFonts w:hint="eastAsia"/>
          <w:color w:val="000000" w:themeColor="text1"/>
        </w:rPr>
        <w:t>的，若要再分類清理，大部分要仰賴傳統人力，耗費成本太高。他建議應該從源頭控管，不然上游一直生產使用塑膠袋，後端去化卻有困難；源頭製造成本便宜，後端處理成本卻很</w:t>
      </w:r>
      <w:proofErr w:type="gramStart"/>
      <w:r w:rsidRPr="00CC0CE7">
        <w:rPr>
          <w:rFonts w:hint="eastAsia"/>
          <w:color w:val="000000" w:themeColor="text1"/>
        </w:rPr>
        <w:t>鉅</w:t>
      </w:r>
      <w:proofErr w:type="gramEnd"/>
      <w:r w:rsidRPr="00CC0CE7">
        <w:rPr>
          <w:rFonts w:hint="eastAsia"/>
          <w:color w:val="000000" w:themeColor="text1"/>
        </w:rPr>
        <w:t>大，最終只會加重環境污染。</w:t>
      </w:r>
      <w:r w:rsidRPr="00CC0CE7">
        <w:rPr>
          <w:rFonts w:hAnsi="標楷體" w:hint="eastAsia"/>
          <w:color w:val="000000" w:themeColor="text1"/>
        </w:rPr>
        <w:t>」</w:t>
      </w:r>
      <w:r w:rsidRPr="00CC0CE7">
        <w:rPr>
          <w:rFonts w:hint="eastAsia"/>
          <w:color w:val="000000" w:themeColor="text1"/>
        </w:rPr>
        <w:t>又，任職豐原清潔隊之清潔隊員表示</w:t>
      </w:r>
      <w:r w:rsidRPr="00CC0CE7">
        <w:rPr>
          <w:rStyle w:val="afc"/>
          <w:color w:val="000000" w:themeColor="text1"/>
        </w:rPr>
        <w:footnoteReference w:id="12"/>
      </w:r>
      <w:r w:rsidRPr="00CC0CE7">
        <w:rPr>
          <w:rFonts w:hint="eastAsia"/>
          <w:color w:val="000000" w:themeColor="text1"/>
        </w:rPr>
        <w:t>：</w:t>
      </w:r>
      <w:r w:rsidRPr="00CC0CE7">
        <w:rPr>
          <w:rFonts w:hAnsi="標楷體" w:hint="eastAsia"/>
          <w:color w:val="000000" w:themeColor="text1"/>
        </w:rPr>
        <w:t>「</w:t>
      </w:r>
      <w:r w:rsidRPr="00CC0CE7">
        <w:rPr>
          <w:rFonts w:hint="eastAsia"/>
          <w:color w:val="000000" w:themeColor="text1"/>
        </w:rPr>
        <w:t>塑膠袋回收率相較其他資源物資，回收量非常低，主因是賣價低、不太有廠商願意收。</w:t>
      </w:r>
      <w:r w:rsidRPr="00CC0CE7">
        <w:rPr>
          <w:rFonts w:hAnsi="標楷體" w:hint="eastAsia"/>
          <w:color w:val="000000" w:themeColor="text1"/>
        </w:rPr>
        <w:t>」</w:t>
      </w:r>
      <w:proofErr w:type="gramStart"/>
      <w:r w:rsidRPr="00CC0CE7">
        <w:rPr>
          <w:rFonts w:hint="eastAsia"/>
          <w:color w:val="000000" w:themeColor="text1"/>
        </w:rPr>
        <w:t>另</w:t>
      </w:r>
      <w:proofErr w:type="gramEnd"/>
      <w:r w:rsidRPr="00CC0CE7">
        <w:rPr>
          <w:rFonts w:hint="eastAsia"/>
          <w:color w:val="000000" w:themeColor="text1"/>
        </w:rPr>
        <w:t>，</w:t>
      </w:r>
      <w:proofErr w:type="gramStart"/>
      <w:r w:rsidRPr="00CC0CE7">
        <w:rPr>
          <w:rFonts w:hint="eastAsia"/>
          <w:color w:val="000000" w:themeColor="text1"/>
        </w:rPr>
        <w:t>臺</w:t>
      </w:r>
      <w:proofErr w:type="gramEnd"/>
      <w:r w:rsidRPr="00CC0CE7">
        <w:rPr>
          <w:rFonts w:hint="eastAsia"/>
          <w:color w:val="000000" w:themeColor="text1"/>
        </w:rPr>
        <w:t>中市環保局亦表示</w:t>
      </w:r>
      <w:r w:rsidRPr="00CC0CE7">
        <w:rPr>
          <w:rStyle w:val="afc"/>
          <w:color w:val="000000" w:themeColor="text1"/>
        </w:rPr>
        <w:footnoteReference w:id="13"/>
      </w:r>
      <w:r w:rsidRPr="00CC0CE7">
        <w:rPr>
          <w:rFonts w:hint="eastAsia"/>
          <w:color w:val="000000" w:themeColor="text1"/>
        </w:rPr>
        <w:t>：</w:t>
      </w:r>
      <w:r w:rsidRPr="00CC0CE7">
        <w:rPr>
          <w:rFonts w:hAnsi="標楷體" w:hint="eastAsia"/>
          <w:color w:val="000000" w:themeColor="text1"/>
        </w:rPr>
        <w:t>「</w:t>
      </w:r>
      <w:r w:rsidRPr="00CC0CE7">
        <w:rPr>
          <w:rFonts w:hint="eastAsia"/>
          <w:color w:val="000000" w:themeColor="text1"/>
        </w:rPr>
        <w:t>塑膠袋後端處理廠不足，廠商回收意願也低，回收循環機制不算很健全。」等語。是</w:t>
      </w:r>
      <w:proofErr w:type="gramStart"/>
      <w:r w:rsidRPr="00CC0CE7">
        <w:rPr>
          <w:rFonts w:hint="eastAsia"/>
          <w:color w:val="000000" w:themeColor="text1"/>
        </w:rPr>
        <w:t>以</w:t>
      </w:r>
      <w:proofErr w:type="gramEnd"/>
      <w:r w:rsidRPr="00CC0CE7">
        <w:rPr>
          <w:rFonts w:hint="eastAsia"/>
          <w:color w:val="000000" w:themeColor="text1"/>
        </w:rPr>
        <w:t>，依據上開第一線負責清運回收之清潔隊員及地方主管機關之說法，塑膠袋回收率非常低，主要有三大主因：賣價低、不太有廠商願意收、民眾分類觀念有待加強。而環保署針對我國廢塑膠袋回收辦理情形一節</w:t>
      </w:r>
      <w:proofErr w:type="gramStart"/>
      <w:r w:rsidRPr="00CC0CE7">
        <w:rPr>
          <w:rFonts w:hint="eastAsia"/>
          <w:color w:val="000000" w:themeColor="text1"/>
        </w:rPr>
        <w:t>函復本院</w:t>
      </w:r>
      <w:proofErr w:type="gramEnd"/>
      <w:r w:rsidRPr="00CC0CE7">
        <w:rPr>
          <w:rFonts w:hint="eastAsia"/>
          <w:color w:val="000000" w:themeColor="text1"/>
        </w:rPr>
        <w:t>表示</w:t>
      </w:r>
      <w:r w:rsidRPr="00CC0CE7">
        <w:rPr>
          <w:color w:val="000000" w:themeColor="text1"/>
          <w:vertAlign w:val="superscript"/>
        </w:rPr>
        <w:footnoteReference w:id="14"/>
      </w:r>
      <w:r w:rsidRPr="00CC0CE7">
        <w:rPr>
          <w:rFonts w:hint="eastAsia"/>
          <w:color w:val="000000" w:themeColor="text1"/>
        </w:rPr>
        <w:t>：目前「塑膠袋」非為公告應回收廢棄物或執行機關一般廢棄物應回收項目，而歸為「其他」類別，僅有新北市、桃園市、</w:t>
      </w:r>
      <w:proofErr w:type="gramStart"/>
      <w:r w:rsidRPr="00CC0CE7">
        <w:rPr>
          <w:rFonts w:hint="eastAsia"/>
          <w:color w:val="000000" w:themeColor="text1"/>
        </w:rPr>
        <w:t>臺</w:t>
      </w:r>
      <w:proofErr w:type="gramEnd"/>
      <w:r w:rsidRPr="00CC0CE7">
        <w:rPr>
          <w:rFonts w:hint="eastAsia"/>
          <w:color w:val="000000" w:themeColor="text1"/>
        </w:rPr>
        <w:t>中市、</w:t>
      </w:r>
      <w:proofErr w:type="gramStart"/>
      <w:r w:rsidRPr="00CC0CE7">
        <w:rPr>
          <w:rFonts w:hint="eastAsia"/>
          <w:color w:val="000000" w:themeColor="text1"/>
        </w:rPr>
        <w:t>臺</w:t>
      </w:r>
      <w:proofErr w:type="gramEnd"/>
      <w:r w:rsidRPr="00CC0CE7">
        <w:rPr>
          <w:rFonts w:hint="eastAsia"/>
          <w:color w:val="000000" w:themeColor="text1"/>
        </w:rPr>
        <w:t>南市、宜蘭縣及連江縣公告等縣市依廢棄物清理法第</w:t>
      </w:r>
      <w:r w:rsidRPr="00CC0CE7">
        <w:rPr>
          <w:color w:val="000000" w:themeColor="text1"/>
        </w:rPr>
        <w:t>5</w:t>
      </w:r>
      <w:r w:rsidRPr="00CC0CE7">
        <w:rPr>
          <w:rFonts w:hint="eastAsia"/>
          <w:color w:val="000000" w:themeColor="text1"/>
        </w:rPr>
        <w:t>條第</w:t>
      </w:r>
      <w:r w:rsidRPr="00CC0CE7">
        <w:rPr>
          <w:color w:val="000000" w:themeColor="text1"/>
        </w:rPr>
        <w:t>6</w:t>
      </w:r>
      <w:r w:rsidRPr="00CC0CE7">
        <w:rPr>
          <w:rFonts w:hint="eastAsia"/>
          <w:color w:val="000000" w:themeColor="text1"/>
        </w:rPr>
        <w:t>項自行公告為回收項目，</w:t>
      </w:r>
      <w:r w:rsidRPr="00CC0CE7">
        <w:rPr>
          <w:color w:val="000000" w:themeColor="text1"/>
        </w:rPr>
        <w:t>106</w:t>
      </w:r>
      <w:r w:rsidRPr="00CC0CE7">
        <w:rPr>
          <w:rFonts w:hint="eastAsia"/>
          <w:color w:val="000000" w:themeColor="text1"/>
        </w:rPr>
        <w:t>年回收計約</w:t>
      </w:r>
      <w:r w:rsidRPr="00CC0CE7">
        <w:rPr>
          <w:color w:val="000000" w:themeColor="text1"/>
        </w:rPr>
        <w:t>5,300</w:t>
      </w:r>
      <w:r w:rsidRPr="00CC0CE7">
        <w:rPr>
          <w:rFonts w:hint="eastAsia"/>
          <w:color w:val="000000" w:themeColor="text1"/>
        </w:rPr>
        <w:t>公噸。相較上開國內106年塑膠袋</w:t>
      </w:r>
      <w:r w:rsidRPr="00CC0CE7">
        <w:rPr>
          <w:rFonts w:hint="eastAsia"/>
          <w:color w:val="000000" w:themeColor="text1"/>
        </w:rPr>
        <w:lastRenderedPageBreak/>
        <w:t>生產量</w:t>
      </w:r>
      <w:r w:rsidRPr="00CC0CE7">
        <w:rPr>
          <w:color w:val="000000" w:themeColor="text1"/>
        </w:rPr>
        <w:t>225,456</w:t>
      </w:r>
      <w:r w:rsidRPr="00CC0CE7">
        <w:rPr>
          <w:rFonts w:hint="eastAsia"/>
          <w:color w:val="000000" w:themeColor="text1"/>
        </w:rPr>
        <w:t>公噸之統計數據，106年塑膠袋僅2.4%被回收，</w:t>
      </w:r>
      <w:proofErr w:type="gramStart"/>
      <w:r w:rsidRPr="00CC0CE7">
        <w:rPr>
          <w:rFonts w:hint="eastAsia"/>
          <w:color w:val="000000" w:themeColor="text1"/>
        </w:rPr>
        <w:t>凸</w:t>
      </w:r>
      <w:proofErr w:type="gramEnd"/>
      <w:r w:rsidRPr="00CC0CE7">
        <w:rPr>
          <w:rFonts w:hint="eastAsia"/>
          <w:color w:val="000000" w:themeColor="text1"/>
        </w:rPr>
        <w:t>顯國內塑膠袋回收誘因不足、回收率偏低，回收機制亟待改善。</w:t>
      </w:r>
    </w:p>
    <w:p w:rsidR="00230B77" w:rsidRPr="00CC0CE7" w:rsidRDefault="00E9115F" w:rsidP="00230B77">
      <w:pPr>
        <w:pStyle w:val="3"/>
        <w:numPr>
          <w:ilvl w:val="2"/>
          <w:numId w:val="1"/>
        </w:numPr>
        <w:rPr>
          <w:color w:val="000000" w:themeColor="text1"/>
        </w:rPr>
      </w:pPr>
      <w:r w:rsidRPr="00CC0CE7">
        <w:rPr>
          <w:rFonts w:hint="eastAsia"/>
          <w:color w:val="000000" w:themeColor="text1"/>
        </w:rPr>
        <w:t>對此，綠色陣線協會常務理事林長茂公開表示</w:t>
      </w:r>
      <w:r w:rsidRPr="00CC0CE7">
        <w:rPr>
          <w:rStyle w:val="afc"/>
          <w:color w:val="000000" w:themeColor="text1"/>
        </w:rPr>
        <w:footnoteReference w:id="15"/>
      </w:r>
      <w:r w:rsidRPr="00CC0CE7">
        <w:rPr>
          <w:rFonts w:hint="eastAsia"/>
          <w:color w:val="000000" w:themeColor="text1"/>
        </w:rPr>
        <w:t>：</w:t>
      </w:r>
      <w:r w:rsidRPr="00CC0CE7">
        <w:rPr>
          <w:rFonts w:hAnsi="標楷體" w:hint="eastAsia"/>
          <w:color w:val="000000" w:themeColor="text1"/>
        </w:rPr>
        <w:t>「</w:t>
      </w:r>
      <w:r w:rsidRPr="00CC0CE7">
        <w:rPr>
          <w:rFonts w:hint="eastAsia"/>
          <w:color w:val="000000" w:themeColor="text1"/>
        </w:rPr>
        <w:t>在臺灣，除了各項購物使用塑膠袋，還被大量</w:t>
      </w:r>
      <w:proofErr w:type="gramStart"/>
      <w:r w:rsidRPr="00CC0CE7">
        <w:rPr>
          <w:rFonts w:hint="eastAsia"/>
          <w:color w:val="000000" w:themeColor="text1"/>
        </w:rPr>
        <w:t>用來裝湯及</w:t>
      </w:r>
      <w:proofErr w:type="gramEnd"/>
      <w:r w:rsidRPr="00CC0CE7">
        <w:rPr>
          <w:rFonts w:hint="eastAsia"/>
          <w:color w:val="000000" w:themeColor="text1"/>
        </w:rPr>
        <w:t>各種食物，後端卻無法回收，付出的處理和環境成本非常高。因為絕大多數無法回收，這些塑膠袋絕大多數都拿去焚化爐焚燒，除了產生戴奧辛，還有很多被隨意丟棄或</w:t>
      </w:r>
      <w:proofErr w:type="gramStart"/>
      <w:r w:rsidRPr="00CC0CE7">
        <w:rPr>
          <w:rFonts w:hint="eastAsia"/>
          <w:color w:val="000000" w:themeColor="text1"/>
        </w:rPr>
        <w:t>大量堆</w:t>
      </w:r>
      <w:proofErr w:type="gramEnd"/>
      <w:r w:rsidRPr="00CC0CE7">
        <w:rPr>
          <w:rFonts w:hint="eastAsia"/>
          <w:color w:val="000000" w:themeColor="text1"/>
        </w:rPr>
        <w:t>置。</w:t>
      </w:r>
      <w:r w:rsidRPr="00CC0CE7">
        <w:rPr>
          <w:rFonts w:hAnsi="標楷體" w:hint="eastAsia"/>
          <w:b/>
          <w:color w:val="000000" w:themeColor="text1"/>
        </w:rPr>
        <w:t>」</w:t>
      </w:r>
      <w:proofErr w:type="gramStart"/>
      <w:r w:rsidRPr="00CC0CE7">
        <w:rPr>
          <w:rFonts w:hAnsi="標楷體" w:hint="eastAsia"/>
          <w:color w:val="000000" w:themeColor="text1"/>
        </w:rPr>
        <w:t>另</w:t>
      </w:r>
      <w:proofErr w:type="gramEnd"/>
      <w:r w:rsidRPr="00CC0CE7">
        <w:rPr>
          <w:rFonts w:hAnsi="標楷體" w:hint="eastAsia"/>
          <w:color w:val="000000" w:themeColor="text1"/>
        </w:rPr>
        <w:t>，看守臺灣協會秘書長謝和霖亦公開呼籲</w:t>
      </w:r>
      <w:r w:rsidRPr="00CC0CE7">
        <w:rPr>
          <w:rStyle w:val="afc"/>
          <w:rFonts w:hAnsi="標楷體"/>
          <w:bCs w:val="0"/>
          <w:color w:val="000000" w:themeColor="text1"/>
        </w:rPr>
        <w:footnoteReference w:id="16"/>
      </w:r>
      <w:r w:rsidRPr="00CC0CE7">
        <w:rPr>
          <w:rFonts w:hAnsi="標楷體" w:hint="eastAsia"/>
          <w:color w:val="000000" w:themeColor="text1"/>
        </w:rPr>
        <w:t>：「不主動提供塑膠袋的</w:t>
      </w:r>
      <w:hyperlink r:id="rId10" w:history="1">
        <w:proofErr w:type="gramStart"/>
        <w:r w:rsidRPr="00CC0CE7">
          <w:rPr>
            <w:rStyle w:val="ae"/>
            <w:rFonts w:hAnsi="標楷體" w:hint="eastAsia"/>
            <w:bCs w:val="0"/>
            <w:color w:val="000000" w:themeColor="text1"/>
            <w:u w:val="none"/>
          </w:rPr>
          <w:t>限塑</w:t>
        </w:r>
        <w:proofErr w:type="gramEnd"/>
      </w:hyperlink>
      <w:r w:rsidRPr="00CC0CE7">
        <w:rPr>
          <w:rFonts w:hAnsi="標楷體" w:hint="eastAsia"/>
          <w:color w:val="000000" w:themeColor="text1"/>
        </w:rPr>
        <w:t>政策，其實還有很多改善空間。除了有提把的塑膠袋、</w:t>
      </w:r>
      <w:proofErr w:type="gramStart"/>
      <w:r w:rsidRPr="00CC0CE7">
        <w:rPr>
          <w:rFonts w:hAnsi="標楷體" w:hint="eastAsia"/>
          <w:color w:val="000000" w:themeColor="text1"/>
        </w:rPr>
        <w:t>購物袋外</w:t>
      </w:r>
      <w:proofErr w:type="gramEnd"/>
      <w:r w:rsidRPr="00CC0CE7">
        <w:rPr>
          <w:rFonts w:hAnsi="標楷體" w:hint="eastAsia"/>
          <w:color w:val="000000" w:themeColor="text1"/>
        </w:rPr>
        <w:t>，一般小吃店、餐廳、早餐店等用來</w:t>
      </w:r>
      <w:proofErr w:type="gramStart"/>
      <w:r w:rsidRPr="00CC0CE7">
        <w:rPr>
          <w:rFonts w:hAnsi="標楷體" w:hint="eastAsia"/>
          <w:color w:val="000000" w:themeColor="text1"/>
        </w:rPr>
        <w:t>裝湯裝菜</w:t>
      </w:r>
      <w:proofErr w:type="gramEnd"/>
      <w:r w:rsidRPr="00CC0CE7">
        <w:rPr>
          <w:rFonts w:hAnsi="標楷體" w:hint="eastAsia"/>
          <w:color w:val="000000" w:themeColor="text1"/>
        </w:rPr>
        <w:t>的透明、PE材質塑膠袋，也應該管制。但</w:t>
      </w:r>
      <w:proofErr w:type="gramStart"/>
      <w:r w:rsidRPr="00CC0CE7">
        <w:rPr>
          <w:rFonts w:hAnsi="標楷體" w:hint="eastAsia"/>
          <w:color w:val="000000" w:themeColor="text1"/>
        </w:rPr>
        <w:t>環保署限塑政策</w:t>
      </w:r>
      <w:proofErr w:type="gramEnd"/>
      <w:r w:rsidRPr="00CC0CE7">
        <w:rPr>
          <w:rFonts w:hAnsi="標楷體" w:hint="eastAsia"/>
          <w:color w:val="000000" w:themeColor="text1"/>
        </w:rPr>
        <w:t>，只針對有提袋的購物用塑膠袋。</w:t>
      </w:r>
      <w:r w:rsidRPr="00CC0CE7">
        <w:rPr>
          <w:rFonts w:hAnsi="標楷體" w:hint="eastAsia"/>
          <w:b/>
          <w:color w:val="000000" w:themeColor="text1"/>
        </w:rPr>
        <w:t>」</w:t>
      </w:r>
      <w:r w:rsidRPr="00CC0CE7">
        <w:rPr>
          <w:rFonts w:hAnsi="標楷體" w:hint="eastAsia"/>
          <w:color w:val="000000" w:themeColor="text1"/>
        </w:rPr>
        <w:t>而環保署於本院詢問有關海洋垃圾源頭減量針對民眾之宣導情形一節表示：「</w:t>
      </w:r>
      <w:proofErr w:type="gramStart"/>
      <w:r w:rsidRPr="00CC0CE7">
        <w:rPr>
          <w:rFonts w:hAnsi="標楷體" w:hint="eastAsia"/>
          <w:color w:val="000000" w:themeColor="text1"/>
        </w:rPr>
        <w:t>本署</w:t>
      </w:r>
      <w:r w:rsidRPr="00CC0CE7">
        <w:rPr>
          <w:rFonts w:hAnsi="標楷體"/>
          <w:color w:val="000000" w:themeColor="text1"/>
        </w:rPr>
        <w:t>對於</w:t>
      </w:r>
      <w:proofErr w:type="gramEnd"/>
      <w:r w:rsidRPr="00CC0CE7">
        <w:rPr>
          <w:rFonts w:hAnsi="標楷體" w:hint="eastAsia"/>
          <w:color w:val="000000" w:themeColor="text1"/>
        </w:rPr>
        <w:t>各項一次用非必要</w:t>
      </w:r>
      <w:r w:rsidRPr="00CC0CE7">
        <w:rPr>
          <w:rFonts w:hAnsi="標楷體"/>
          <w:color w:val="000000" w:themeColor="text1"/>
        </w:rPr>
        <w:t>塑膠</w:t>
      </w:r>
      <w:r w:rsidRPr="00CC0CE7">
        <w:rPr>
          <w:rFonts w:hAnsi="標楷體" w:hint="eastAsia"/>
          <w:color w:val="000000" w:themeColor="text1"/>
        </w:rPr>
        <w:t>產品，</w:t>
      </w:r>
      <w:r w:rsidRPr="00CC0CE7">
        <w:rPr>
          <w:rFonts w:hAnsi="標楷體"/>
          <w:color w:val="000000" w:themeColor="text1"/>
        </w:rPr>
        <w:t>自</w:t>
      </w:r>
      <w:r w:rsidRPr="00CC0CE7">
        <w:rPr>
          <w:rFonts w:hAnsi="標楷體" w:hint="eastAsia"/>
          <w:color w:val="000000" w:themeColor="text1"/>
        </w:rPr>
        <w:t>91</w:t>
      </w:r>
      <w:r w:rsidRPr="00CC0CE7">
        <w:rPr>
          <w:rFonts w:hAnsi="標楷體"/>
          <w:color w:val="000000" w:themeColor="text1"/>
        </w:rPr>
        <w:t>年起</w:t>
      </w:r>
      <w:r w:rsidRPr="00CC0CE7">
        <w:rPr>
          <w:rFonts w:hAnsi="標楷體" w:hint="eastAsia"/>
          <w:color w:val="000000" w:themeColor="text1"/>
        </w:rPr>
        <w:t>已</w:t>
      </w:r>
      <w:r w:rsidRPr="00CC0CE7">
        <w:rPr>
          <w:rFonts w:hAnsi="標楷體"/>
          <w:color w:val="000000" w:themeColor="text1"/>
        </w:rPr>
        <w:t>陸續推動一系列源頭減量措施，包括</w:t>
      </w:r>
      <w:r w:rsidRPr="00CC0CE7">
        <w:rPr>
          <w:rFonts w:hAnsi="標楷體" w:hint="eastAsia"/>
          <w:color w:val="000000" w:themeColor="text1"/>
        </w:rPr>
        <w:t>『</w:t>
      </w:r>
      <w:r w:rsidRPr="00CC0CE7">
        <w:rPr>
          <w:rFonts w:hAnsi="標楷體"/>
          <w:color w:val="000000" w:themeColor="text1"/>
        </w:rPr>
        <w:t>購物用塑膠袋及</w:t>
      </w:r>
      <w:proofErr w:type="gramStart"/>
      <w:r w:rsidRPr="00CC0CE7">
        <w:rPr>
          <w:rFonts w:hAnsi="標楷體"/>
          <w:color w:val="000000" w:themeColor="text1"/>
        </w:rPr>
        <w:t>塑膠類免洗</w:t>
      </w:r>
      <w:proofErr w:type="gramEnd"/>
      <w:r w:rsidRPr="00CC0CE7">
        <w:rPr>
          <w:rFonts w:hAnsi="標楷體"/>
          <w:color w:val="000000" w:themeColor="text1"/>
        </w:rPr>
        <w:t>餐具限制使用政策</w:t>
      </w:r>
      <w:r w:rsidRPr="00CC0CE7">
        <w:rPr>
          <w:rFonts w:hAnsi="標楷體" w:hint="eastAsia"/>
          <w:color w:val="000000" w:themeColor="text1"/>
        </w:rPr>
        <w:t>』</w:t>
      </w:r>
      <w:r w:rsidRPr="00CC0CE7">
        <w:rPr>
          <w:rFonts w:hAnsi="標楷體"/>
          <w:color w:val="000000" w:themeColor="text1"/>
        </w:rPr>
        <w:t>、</w:t>
      </w:r>
      <w:r w:rsidRPr="00CC0CE7">
        <w:rPr>
          <w:rFonts w:hAnsi="標楷體" w:hint="eastAsia"/>
          <w:color w:val="000000" w:themeColor="text1"/>
        </w:rPr>
        <w:t>『</w:t>
      </w:r>
      <w:r w:rsidRPr="00CC0CE7">
        <w:rPr>
          <w:rFonts w:hAnsi="標楷體"/>
          <w:color w:val="000000" w:themeColor="text1"/>
        </w:rPr>
        <w:t>限制塑膠類托盤及包裝盒使用</w:t>
      </w:r>
      <w:r w:rsidRPr="00CC0CE7">
        <w:rPr>
          <w:rFonts w:hAnsi="標楷體" w:hint="eastAsia"/>
          <w:color w:val="000000" w:themeColor="text1"/>
        </w:rPr>
        <w:t>』</w:t>
      </w:r>
      <w:r w:rsidRPr="00CC0CE7">
        <w:rPr>
          <w:rFonts w:hAnsi="標楷體"/>
          <w:color w:val="000000" w:themeColor="text1"/>
        </w:rPr>
        <w:t>、</w:t>
      </w:r>
      <w:r w:rsidRPr="00CC0CE7">
        <w:rPr>
          <w:rFonts w:hAnsi="標楷體" w:hint="eastAsia"/>
          <w:color w:val="000000" w:themeColor="text1"/>
        </w:rPr>
        <w:t>『</w:t>
      </w:r>
      <w:r w:rsidRPr="00CC0CE7">
        <w:rPr>
          <w:rFonts w:hAnsi="標楷體"/>
          <w:color w:val="000000" w:themeColor="text1"/>
        </w:rPr>
        <w:t>一次用外帶飲料杯源頭減量及回收獎勵金實施方式</w:t>
      </w:r>
      <w:r w:rsidRPr="00CC0CE7">
        <w:rPr>
          <w:rFonts w:hAnsi="標楷體" w:hint="eastAsia"/>
          <w:color w:val="000000" w:themeColor="text1"/>
        </w:rPr>
        <w:t>』</w:t>
      </w:r>
      <w:r w:rsidRPr="00CC0CE7">
        <w:rPr>
          <w:rFonts w:hAnsi="標楷體"/>
          <w:color w:val="000000" w:themeColor="text1"/>
        </w:rPr>
        <w:t>等</w:t>
      </w:r>
      <w:r w:rsidRPr="00CC0CE7">
        <w:rPr>
          <w:rFonts w:hAnsi="標楷體" w:hint="eastAsia"/>
          <w:color w:val="000000" w:themeColor="text1"/>
        </w:rPr>
        <w:t>，</w:t>
      </w:r>
      <w:r w:rsidRPr="00CC0CE7">
        <w:rPr>
          <w:rFonts w:hAnsi="標楷體"/>
          <w:color w:val="000000" w:themeColor="text1"/>
        </w:rPr>
        <w:t>…</w:t>
      </w:r>
      <w:proofErr w:type="gramStart"/>
      <w:r w:rsidRPr="00CC0CE7">
        <w:rPr>
          <w:rFonts w:hAnsi="標楷體"/>
          <w:color w:val="000000" w:themeColor="text1"/>
        </w:rPr>
        <w:t>…</w:t>
      </w:r>
      <w:proofErr w:type="gramEnd"/>
      <w:r w:rsidRPr="00CC0CE7">
        <w:rPr>
          <w:rFonts w:hAnsi="標楷體"/>
          <w:color w:val="000000" w:themeColor="text1"/>
        </w:rPr>
        <w:t>以引導民眾改變拋棄型的生活型態，達減少垃圾產生量與處理量的效果。</w:t>
      </w:r>
      <w:r w:rsidRPr="00CC0CE7">
        <w:rPr>
          <w:rFonts w:hAnsi="標楷體" w:hint="eastAsia"/>
          <w:color w:val="000000" w:themeColor="text1"/>
        </w:rPr>
        <w:t>」再查環保署歷年宣導相關作為有：拍攝源頭減量宣導影片、</w:t>
      </w:r>
      <w:r w:rsidRPr="00CC0CE7">
        <w:rPr>
          <w:rFonts w:hAnsi="標楷體"/>
          <w:color w:val="000000" w:themeColor="text1"/>
        </w:rPr>
        <w:t>印製宣導單張、海報及貼紙張貼</w:t>
      </w:r>
      <w:r w:rsidRPr="00CC0CE7">
        <w:rPr>
          <w:rFonts w:hAnsi="標楷體" w:hint="eastAsia"/>
          <w:color w:val="000000" w:themeColor="text1"/>
        </w:rPr>
        <w:t>、設置一次用產品減量宣導網站等方式</w:t>
      </w:r>
      <w:r w:rsidRPr="00CC0CE7">
        <w:rPr>
          <w:rFonts w:hAnsi="標楷體"/>
          <w:color w:val="000000" w:themeColor="text1"/>
        </w:rPr>
        <w:t>向民眾宣導</w:t>
      </w:r>
      <w:r w:rsidRPr="00CC0CE7">
        <w:rPr>
          <w:rFonts w:hAnsi="標楷體" w:hint="eastAsia"/>
          <w:color w:val="000000" w:themeColor="text1"/>
        </w:rPr>
        <w:t>。然該署在</w:t>
      </w:r>
      <w:proofErr w:type="gramStart"/>
      <w:r w:rsidRPr="00CC0CE7">
        <w:rPr>
          <w:rFonts w:hAnsi="標楷體" w:hint="eastAsia"/>
          <w:color w:val="000000" w:themeColor="text1"/>
        </w:rPr>
        <w:t>推動限塑源頭</w:t>
      </w:r>
      <w:proofErr w:type="gramEnd"/>
      <w:r w:rsidRPr="00CC0CE7">
        <w:rPr>
          <w:rFonts w:hAnsi="標楷體" w:hint="eastAsia"/>
          <w:color w:val="000000" w:themeColor="text1"/>
        </w:rPr>
        <w:t>減量多年，民眾在塑膠袋之整體使用量不減反增，已如前述。據</w:t>
      </w:r>
      <w:proofErr w:type="gramStart"/>
      <w:r w:rsidRPr="00CC0CE7">
        <w:rPr>
          <w:rFonts w:hAnsi="標楷體" w:hint="eastAsia"/>
          <w:color w:val="000000" w:themeColor="text1"/>
        </w:rPr>
        <w:t>上足見，限塑</w:t>
      </w:r>
      <w:proofErr w:type="gramEnd"/>
      <w:r w:rsidRPr="00CC0CE7">
        <w:rPr>
          <w:rFonts w:hAnsi="標楷體" w:hint="eastAsia"/>
          <w:color w:val="000000" w:themeColor="text1"/>
        </w:rPr>
        <w:t>政策源</w:t>
      </w:r>
      <w:r w:rsidRPr="00CC0CE7">
        <w:rPr>
          <w:rFonts w:hAnsi="標楷體" w:hint="eastAsia"/>
          <w:color w:val="000000" w:themeColor="text1"/>
        </w:rPr>
        <w:lastRenderedPageBreak/>
        <w:t>頭管制民眾使用上之闕漏，宣導教育仍有待加強，以澈底改變</w:t>
      </w:r>
      <w:r w:rsidRPr="00CC0CE7">
        <w:rPr>
          <w:rFonts w:hAnsi="標楷體"/>
          <w:color w:val="000000" w:themeColor="text1"/>
        </w:rPr>
        <w:t>民眾</w:t>
      </w:r>
      <w:r w:rsidRPr="00CC0CE7">
        <w:rPr>
          <w:rFonts w:hAnsi="標楷體" w:hint="eastAsia"/>
          <w:color w:val="000000" w:themeColor="text1"/>
        </w:rPr>
        <w:t>在生活上</w:t>
      </w:r>
      <w:r w:rsidRPr="00CC0CE7">
        <w:rPr>
          <w:rFonts w:hAnsi="標楷體"/>
          <w:color w:val="000000" w:themeColor="text1"/>
        </w:rPr>
        <w:t>的</w:t>
      </w:r>
      <w:r w:rsidRPr="00CC0CE7">
        <w:rPr>
          <w:rFonts w:hAnsi="標楷體" w:hint="eastAsia"/>
          <w:color w:val="000000" w:themeColor="text1"/>
        </w:rPr>
        <w:t>使用行為。</w:t>
      </w:r>
    </w:p>
    <w:p w:rsidR="00230B77" w:rsidRPr="00CC0CE7" w:rsidRDefault="00230B77" w:rsidP="00230B77">
      <w:pPr>
        <w:pStyle w:val="3"/>
        <w:numPr>
          <w:ilvl w:val="2"/>
          <w:numId w:val="1"/>
        </w:numPr>
        <w:rPr>
          <w:color w:val="000000" w:themeColor="text1"/>
        </w:rPr>
      </w:pPr>
      <w:r w:rsidRPr="00CC0CE7">
        <w:rPr>
          <w:rFonts w:hint="eastAsia"/>
          <w:color w:val="000000" w:themeColor="text1"/>
        </w:rPr>
        <w:t>基上，環保署廢管處長賴瑩瑩公開表示</w:t>
      </w:r>
      <w:r w:rsidRPr="00CC0CE7">
        <w:rPr>
          <w:rStyle w:val="afc"/>
          <w:color w:val="000000" w:themeColor="text1"/>
        </w:rPr>
        <w:footnoteReference w:id="17"/>
      </w:r>
      <w:r w:rsidRPr="00CC0CE7">
        <w:rPr>
          <w:rFonts w:hint="eastAsia"/>
          <w:color w:val="000000" w:themeColor="text1"/>
        </w:rPr>
        <w:t>：</w:t>
      </w:r>
      <w:r w:rsidRPr="00CC0CE7">
        <w:rPr>
          <w:rFonts w:hAnsi="標楷體" w:hint="eastAsia"/>
          <w:color w:val="000000" w:themeColor="text1"/>
        </w:rPr>
        <w:t>「</w:t>
      </w:r>
      <w:r w:rsidRPr="00CC0CE7">
        <w:rPr>
          <w:rFonts w:hint="eastAsia"/>
          <w:color w:val="000000" w:themeColor="text1"/>
        </w:rPr>
        <w:t>今年年底北部會有兩家業者把廢塑膠、橡膠等做成鍋爐燃料，回收業者堆放在田間、閒置空間的塑膠物將會有更好的去處，不會增加焚化爐負擔，田間也不會無限制堆放；另委託民間單位參考</w:t>
      </w:r>
      <w:hyperlink r:id="rId11" w:history="1">
        <w:r w:rsidRPr="00CC0CE7">
          <w:rPr>
            <w:rStyle w:val="ae"/>
            <w:rFonts w:hint="eastAsia"/>
            <w:color w:val="000000" w:themeColor="text1"/>
            <w:u w:val="none"/>
          </w:rPr>
          <w:t>歐盟</w:t>
        </w:r>
      </w:hyperlink>
      <w:r w:rsidRPr="00CC0CE7">
        <w:rPr>
          <w:rFonts w:hint="eastAsia"/>
          <w:color w:val="000000" w:themeColor="text1"/>
        </w:rPr>
        <w:t>的燃燒標準進行試燒，建立我國自己的燃燒標準。</w:t>
      </w:r>
      <w:r w:rsidRPr="00CC0CE7">
        <w:rPr>
          <w:rFonts w:hAnsi="標楷體" w:hint="eastAsia"/>
          <w:color w:val="000000" w:themeColor="text1"/>
        </w:rPr>
        <w:t>」</w:t>
      </w:r>
      <w:r w:rsidRPr="00CC0CE7">
        <w:rPr>
          <w:rFonts w:hint="eastAsia"/>
          <w:color w:val="000000" w:themeColor="text1"/>
        </w:rPr>
        <w:t>另表示：</w:t>
      </w:r>
      <w:r w:rsidRPr="00CC0CE7">
        <w:rPr>
          <w:rFonts w:hAnsi="標楷體" w:hint="eastAsia"/>
          <w:color w:val="000000" w:themeColor="text1"/>
        </w:rPr>
        <w:t>「</w:t>
      </w:r>
      <w:r w:rsidRPr="00CC0CE7">
        <w:rPr>
          <w:rFonts w:hint="eastAsia"/>
          <w:color w:val="000000" w:themeColor="text1"/>
        </w:rPr>
        <w:t>家戶的乾淨垃圾袋還是可以交由清潔隊回收，由清潔隊去化，但目前回收率僅9%偏低。由於現在</w:t>
      </w:r>
      <w:proofErr w:type="gramStart"/>
      <w:r w:rsidRPr="00CC0CE7">
        <w:rPr>
          <w:rFonts w:hint="eastAsia"/>
          <w:color w:val="000000" w:themeColor="text1"/>
        </w:rPr>
        <w:t>採</w:t>
      </w:r>
      <w:proofErr w:type="gramEnd"/>
      <w:r w:rsidRPr="00CC0CE7">
        <w:rPr>
          <w:rFonts w:hint="eastAsia"/>
          <w:color w:val="000000" w:themeColor="text1"/>
        </w:rPr>
        <w:t>統包方式，業者標到包案後無法做物質再利用，只能做燃料。未來塑膠袋、塑膠膜會盡可能分流，日前已與各大賣場、</w:t>
      </w:r>
      <w:hyperlink r:id="rId12" w:history="1">
        <w:r w:rsidRPr="00CC0CE7">
          <w:rPr>
            <w:rStyle w:val="ae"/>
            <w:rFonts w:hint="eastAsia"/>
            <w:color w:val="000000" w:themeColor="text1"/>
            <w:u w:val="none"/>
          </w:rPr>
          <w:t>量販店</w:t>
        </w:r>
      </w:hyperlink>
      <w:r w:rsidRPr="00CC0CE7">
        <w:rPr>
          <w:rFonts w:hint="eastAsia"/>
          <w:color w:val="000000" w:themeColor="text1"/>
        </w:rPr>
        <w:t>開會溝通，另</w:t>
      </w:r>
      <w:proofErr w:type="gramStart"/>
      <w:r w:rsidRPr="00CC0CE7">
        <w:rPr>
          <w:rFonts w:hint="eastAsia"/>
          <w:color w:val="000000" w:themeColor="text1"/>
        </w:rPr>
        <w:t>規畫找</w:t>
      </w:r>
      <w:proofErr w:type="gramEnd"/>
      <w:r w:rsidRPr="00CC0CE7">
        <w:rPr>
          <w:rFonts w:hint="eastAsia"/>
          <w:color w:val="000000" w:themeColor="text1"/>
        </w:rPr>
        <w:t>物流業者、回收業者進行媒合，讓大量使用塑膠包膜的賣場、</w:t>
      </w:r>
      <w:proofErr w:type="gramStart"/>
      <w:r w:rsidRPr="00CC0CE7">
        <w:rPr>
          <w:rFonts w:hint="eastAsia"/>
          <w:color w:val="000000" w:themeColor="text1"/>
        </w:rPr>
        <w:t>運貨使等通路</w:t>
      </w:r>
      <w:proofErr w:type="gramEnd"/>
      <w:r w:rsidRPr="00CC0CE7">
        <w:rPr>
          <w:rFonts w:hint="eastAsia"/>
          <w:color w:val="000000" w:themeColor="text1"/>
        </w:rPr>
        <w:t>的塑膠膜有去處。至於塑膠膜的回收體系，已</w:t>
      </w:r>
      <w:proofErr w:type="gramStart"/>
      <w:r w:rsidRPr="00CC0CE7">
        <w:rPr>
          <w:rFonts w:hint="eastAsia"/>
          <w:color w:val="000000" w:themeColor="text1"/>
        </w:rPr>
        <w:t>規</w:t>
      </w:r>
      <w:proofErr w:type="gramEnd"/>
      <w:r w:rsidRPr="00CC0CE7">
        <w:rPr>
          <w:rFonts w:hint="eastAsia"/>
          <w:color w:val="000000" w:themeColor="text1"/>
        </w:rPr>
        <w:t>畫在量販店、賣場群聚的聚落位置先做一個示範點，建立集中回收體系。讓回收業者方便處理、載運，甚至可以分類。協調媒合使用端與回收端需求，先在賣場、量販店推廣，再擴及貨運、網購業者，最快6月底前試辦。」等語。108年4月9日聯合晚報並以「賣場、量飯店回收塑膠膜</w:t>
      </w:r>
      <w:proofErr w:type="gramStart"/>
      <w:r w:rsidRPr="00CC0CE7">
        <w:rPr>
          <w:color w:val="000000" w:themeColor="text1"/>
        </w:rPr>
        <w:t>—</w:t>
      </w:r>
      <w:proofErr w:type="gramEnd"/>
      <w:r w:rsidRPr="00CC0CE7">
        <w:rPr>
          <w:rFonts w:hint="eastAsia"/>
          <w:color w:val="000000" w:themeColor="text1"/>
        </w:rPr>
        <w:t>環保署建回收體系 最快6月底前試辦」</w:t>
      </w:r>
      <w:r w:rsidRPr="00CC0CE7">
        <w:rPr>
          <w:color w:val="000000" w:themeColor="text1"/>
          <w:vertAlign w:val="superscript"/>
        </w:rPr>
        <w:footnoteReference w:id="18"/>
      </w:r>
      <w:r w:rsidRPr="00CC0CE7">
        <w:rPr>
          <w:rFonts w:hint="eastAsia"/>
          <w:color w:val="000000" w:themeColor="text1"/>
        </w:rPr>
        <w:t>為題報導：「環保署現在</w:t>
      </w:r>
      <w:proofErr w:type="gramStart"/>
      <w:r w:rsidRPr="00CC0CE7">
        <w:rPr>
          <w:rFonts w:hint="eastAsia"/>
          <w:color w:val="000000" w:themeColor="text1"/>
        </w:rPr>
        <w:t>規</w:t>
      </w:r>
      <w:proofErr w:type="gramEnd"/>
      <w:r w:rsidRPr="00CC0CE7">
        <w:rPr>
          <w:rFonts w:hint="eastAsia"/>
          <w:color w:val="000000" w:themeColor="text1"/>
        </w:rPr>
        <w:t>畫，先針對材質單純、用量龐大的塑膠膜，建立集中回收體系，讓塑膠膜、塑膠袋分流，最快6月底前試辦，一段時間再重新</w:t>
      </w:r>
      <w:proofErr w:type="gramStart"/>
      <w:r w:rsidRPr="00CC0CE7">
        <w:rPr>
          <w:rFonts w:hint="eastAsia"/>
          <w:color w:val="000000" w:themeColor="text1"/>
        </w:rPr>
        <w:t>檢討限塑政策</w:t>
      </w:r>
      <w:proofErr w:type="gramEnd"/>
      <w:r w:rsidRPr="00CC0CE7">
        <w:rPr>
          <w:rFonts w:hint="eastAsia"/>
          <w:color w:val="000000" w:themeColor="text1"/>
        </w:rPr>
        <w:t>。」</w:t>
      </w:r>
    </w:p>
    <w:p w:rsidR="00230B77" w:rsidRPr="00CC0CE7" w:rsidRDefault="00230B77" w:rsidP="00230B77">
      <w:pPr>
        <w:pStyle w:val="3"/>
        <w:numPr>
          <w:ilvl w:val="2"/>
          <w:numId w:val="1"/>
        </w:numPr>
        <w:rPr>
          <w:color w:val="000000" w:themeColor="text1"/>
        </w:rPr>
      </w:pPr>
      <w:proofErr w:type="gramStart"/>
      <w:r w:rsidRPr="00CC0CE7">
        <w:rPr>
          <w:rFonts w:hint="eastAsia"/>
          <w:color w:val="000000" w:themeColor="text1"/>
          <w:kern w:val="28"/>
          <w:szCs w:val="24"/>
        </w:rPr>
        <w:t>末查有關</w:t>
      </w:r>
      <w:proofErr w:type="gramEnd"/>
      <w:r w:rsidRPr="00CC0CE7">
        <w:rPr>
          <w:rFonts w:hint="eastAsia"/>
          <w:color w:val="000000" w:themeColor="text1"/>
          <w:kern w:val="28"/>
          <w:szCs w:val="24"/>
        </w:rPr>
        <w:t>各類塑膠材質製品之廢棄物回收辦理情</w:t>
      </w:r>
      <w:r w:rsidRPr="00CC0CE7">
        <w:rPr>
          <w:rFonts w:hint="eastAsia"/>
          <w:color w:val="000000" w:themeColor="text1"/>
          <w:kern w:val="28"/>
          <w:szCs w:val="24"/>
        </w:rPr>
        <w:lastRenderedPageBreak/>
        <w:t>形，</w:t>
      </w:r>
      <w:r w:rsidRPr="00CC0CE7">
        <w:rPr>
          <w:rFonts w:hint="eastAsia"/>
          <w:color w:val="000000" w:themeColor="text1"/>
        </w:rPr>
        <w:t>據環保署於本院詢問書面資料說明</w:t>
      </w:r>
      <w:r w:rsidRPr="00CC0CE7">
        <w:rPr>
          <w:rStyle w:val="afc"/>
          <w:color w:val="000000" w:themeColor="text1"/>
        </w:rPr>
        <w:footnoteReference w:id="19"/>
      </w:r>
      <w:r w:rsidRPr="00CC0CE7">
        <w:rPr>
          <w:rFonts w:hint="eastAsia"/>
          <w:color w:val="000000" w:themeColor="text1"/>
        </w:rPr>
        <w:t>：我國自89年推動資源回收四合一計畫，透過資源回收基金之運用規劃，結合「社區民眾」、「地方政府清潔隊」（執行機關）及「回收商」等推動資源回收工作，並依廢棄物清理法第15 條公告應回收物品，其中廢塑膠容器(包含PET、PE、PVC、PP、PS、PLA等材質)、廢電子電器物品、廢資訊物品</w:t>
      </w:r>
      <w:proofErr w:type="gramStart"/>
      <w:r w:rsidRPr="00CC0CE7">
        <w:rPr>
          <w:rFonts w:hint="eastAsia"/>
          <w:color w:val="000000" w:themeColor="text1"/>
        </w:rPr>
        <w:t>及廢汽機動車輛</w:t>
      </w:r>
      <w:proofErr w:type="gramEnd"/>
      <w:r w:rsidRPr="00CC0CE7">
        <w:rPr>
          <w:rFonts w:hint="eastAsia"/>
          <w:color w:val="000000" w:themeColor="text1"/>
        </w:rPr>
        <w:t>等內含之廢塑膠，回收後進行粉碎、清洗、</w:t>
      </w:r>
      <w:proofErr w:type="gramStart"/>
      <w:r w:rsidRPr="00CC0CE7">
        <w:rPr>
          <w:rFonts w:hint="eastAsia"/>
          <w:color w:val="000000" w:themeColor="text1"/>
        </w:rPr>
        <w:t>分選、造粒</w:t>
      </w:r>
      <w:proofErr w:type="gramEnd"/>
      <w:r w:rsidRPr="00CC0CE7">
        <w:rPr>
          <w:rFonts w:hint="eastAsia"/>
          <w:color w:val="000000" w:themeColor="text1"/>
        </w:rPr>
        <w:t>，並製成二次塑膠原料，以供再生塑膠製品使用。另於92年推動垃圾強制分類為一般垃圾、資源回收物及廚餘等三大類交付地方清潔隊，分類後之廢塑膠，經地方清潔隊送交合格之回收商後交至再利用業者，作為塑膠製品原料、鋼鐵廠輔助燃料用途、或產製為塑膠裂解油品。</w:t>
      </w:r>
    </w:p>
    <w:p w:rsidR="00230B77" w:rsidRPr="00CC0CE7" w:rsidRDefault="00230B77" w:rsidP="00230B77">
      <w:pPr>
        <w:pStyle w:val="3"/>
        <w:numPr>
          <w:ilvl w:val="2"/>
          <w:numId w:val="1"/>
        </w:numPr>
        <w:rPr>
          <w:color w:val="000000" w:themeColor="text1"/>
        </w:rPr>
      </w:pPr>
      <w:r w:rsidRPr="00CC0CE7">
        <w:rPr>
          <w:rFonts w:hint="eastAsia"/>
          <w:color w:val="000000" w:themeColor="text1"/>
        </w:rPr>
        <w:t>然在垃圾分類及資源回收執行上發現，有縣市政府資源回收車將</w:t>
      </w:r>
      <w:r w:rsidRPr="00CC0CE7">
        <w:rPr>
          <w:color w:val="000000" w:themeColor="text1"/>
        </w:rPr>
        <w:t>民眾分類</w:t>
      </w:r>
      <w:proofErr w:type="gramStart"/>
      <w:r w:rsidRPr="00CC0CE7">
        <w:rPr>
          <w:color w:val="000000" w:themeColor="text1"/>
        </w:rPr>
        <w:t>好</w:t>
      </w:r>
      <w:r w:rsidRPr="00CC0CE7">
        <w:rPr>
          <w:rFonts w:hint="eastAsia"/>
          <w:color w:val="000000" w:themeColor="text1"/>
        </w:rPr>
        <w:t>之</w:t>
      </w:r>
      <w:r w:rsidRPr="00CC0CE7">
        <w:rPr>
          <w:color w:val="000000" w:themeColor="text1"/>
        </w:rPr>
        <w:t>紙容器</w:t>
      </w:r>
      <w:proofErr w:type="gramEnd"/>
      <w:r w:rsidRPr="00CC0CE7">
        <w:rPr>
          <w:color w:val="000000" w:themeColor="text1"/>
        </w:rPr>
        <w:t>、薄塑膠、寶特瓶、鐵鋁罐、玻璃瓶、利樂包、電風扇、微波爐</w:t>
      </w:r>
      <w:r w:rsidRPr="00CC0CE7">
        <w:rPr>
          <w:rFonts w:hint="eastAsia"/>
          <w:color w:val="000000" w:themeColor="text1"/>
        </w:rPr>
        <w:t>等</w:t>
      </w:r>
      <w:r w:rsidRPr="00CC0CE7">
        <w:rPr>
          <w:color w:val="000000" w:themeColor="text1"/>
        </w:rPr>
        <w:t>回收物</w:t>
      </w:r>
      <w:r w:rsidRPr="00CC0CE7">
        <w:rPr>
          <w:rFonts w:hint="eastAsia"/>
          <w:color w:val="000000" w:themeColor="text1"/>
        </w:rPr>
        <w:t>回收後</w:t>
      </w:r>
      <w:r w:rsidRPr="00CC0CE7">
        <w:rPr>
          <w:color w:val="000000" w:themeColor="text1"/>
        </w:rPr>
        <w:t>，</w:t>
      </w:r>
      <w:proofErr w:type="gramStart"/>
      <w:r w:rsidRPr="00CC0CE7">
        <w:rPr>
          <w:color w:val="000000" w:themeColor="text1"/>
        </w:rPr>
        <w:t>回資收場</w:t>
      </w:r>
      <w:proofErr w:type="gramEnd"/>
      <w:r w:rsidRPr="00CC0CE7">
        <w:rPr>
          <w:rFonts w:hint="eastAsia"/>
          <w:color w:val="000000" w:themeColor="text1"/>
        </w:rPr>
        <w:t>卻將民眾已分類好的回收物混雜堆放</w:t>
      </w:r>
      <w:r w:rsidRPr="00CC0CE7">
        <w:rPr>
          <w:rStyle w:val="afc"/>
          <w:color w:val="000000" w:themeColor="text1"/>
          <w:kern w:val="28"/>
          <w:szCs w:val="24"/>
        </w:rPr>
        <w:footnoteReference w:id="20"/>
      </w:r>
      <w:r w:rsidRPr="00CC0CE7">
        <w:rPr>
          <w:color w:val="000000" w:themeColor="text1"/>
        </w:rPr>
        <w:t>。</w:t>
      </w:r>
      <w:r w:rsidRPr="00CC0CE7">
        <w:rPr>
          <w:rFonts w:hint="eastAsia"/>
          <w:color w:val="000000" w:themeColor="text1"/>
        </w:rPr>
        <w:t>看守臺灣協會秘書長謝和霖亦證實表示：「</w:t>
      </w:r>
      <w:r w:rsidRPr="00CC0CE7">
        <w:rPr>
          <w:color w:val="000000" w:themeColor="text1"/>
        </w:rPr>
        <w:t>臺北市的模式有點欺騙民眾感情，把民眾稍微分類的回收物，部份混在一起，到了（屏東）回收商又要再分一次，等於浪費資源，如果能把（民眾）分好的回收物直接賣給回收商，價格會更好、也可避免重工</w:t>
      </w:r>
      <w:r w:rsidRPr="00CC0CE7">
        <w:rPr>
          <w:rFonts w:hint="eastAsia"/>
          <w:color w:val="000000" w:themeColor="text1"/>
        </w:rPr>
        <w:t>。」等語。另日前</w:t>
      </w:r>
      <w:proofErr w:type="gramStart"/>
      <w:r w:rsidRPr="00CC0CE7">
        <w:rPr>
          <w:rFonts w:hint="eastAsia"/>
          <w:color w:val="000000" w:themeColor="text1"/>
        </w:rPr>
        <w:t>甫</w:t>
      </w:r>
      <w:proofErr w:type="gramEnd"/>
      <w:r w:rsidRPr="00CC0CE7">
        <w:rPr>
          <w:rFonts w:hint="eastAsia"/>
          <w:color w:val="000000" w:themeColor="text1"/>
        </w:rPr>
        <w:t>榮獲環保署「</w:t>
      </w:r>
      <w:proofErr w:type="gramStart"/>
      <w:r w:rsidRPr="00CC0CE7">
        <w:rPr>
          <w:rFonts w:hint="eastAsia"/>
          <w:color w:val="000000" w:themeColor="text1"/>
        </w:rPr>
        <w:t>107</w:t>
      </w:r>
      <w:proofErr w:type="gramEnd"/>
      <w:r w:rsidRPr="00CC0CE7">
        <w:rPr>
          <w:rFonts w:hint="eastAsia"/>
          <w:color w:val="000000" w:themeColor="text1"/>
        </w:rPr>
        <w:t>年度推動執行機關加強辦理資源回收工作績效考核計畫」全國第3組「金質獎」的宜蘭縣</w:t>
      </w:r>
      <w:r w:rsidRPr="00CC0CE7">
        <w:rPr>
          <w:rStyle w:val="afc"/>
          <w:color w:val="000000" w:themeColor="text1"/>
        </w:rPr>
        <w:footnoteReference w:id="21"/>
      </w:r>
      <w:r w:rsidRPr="00CC0CE7">
        <w:rPr>
          <w:rFonts w:hint="eastAsia"/>
          <w:color w:val="000000" w:themeColor="text1"/>
        </w:rPr>
        <w:t>，近日</w:t>
      </w:r>
      <w:r w:rsidRPr="00CC0CE7">
        <w:rPr>
          <w:rFonts w:hint="eastAsia"/>
          <w:color w:val="000000" w:themeColor="text1"/>
        </w:rPr>
        <w:lastRenderedPageBreak/>
        <w:t>（108/4/24）更有民眾</w:t>
      </w:r>
      <w:proofErr w:type="gramStart"/>
      <w:r w:rsidRPr="00CC0CE7">
        <w:rPr>
          <w:rFonts w:hint="eastAsia"/>
          <w:color w:val="000000" w:themeColor="text1"/>
        </w:rPr>
        <w:t>蒐</w:t>
      </w:r>
      <w:proofErr w:type="gramEnd"/>
      <w:r w:rsidRPr="00CC0CE7">
        <w:rPr>
          <w:rFonts w:hint="eastAsia"/>
          <w:color w:val="000000" w:themeColor="text1"/>
        </w:rPr>
        <w:t>證錄影投訴媒體，有關</w:t>
      </w:r>
      <w:r w:rsidRPr="00CC0CE7">
        <w:rPr>
          <w:color w:val="000000" w:themeColor="text1"/>
        </w:rPr>
        <w:t>宜蘭市公所清潔隊人員，長期把資源回收物直接丟入垃圾車內</w:t>
      </w:r>
      <w:r w:rsidRPr="00CC0CE7">
        <w:rPr>
          <w:rFonts w:hint="eastAsia"/>
          <w:color w:val="000000" w:themeColor="text1"/>
        </w:rPr>
        <w:t>一事，並經</w:t>
      </w:r>
      <w:r w:rsidRPr="00CC0CE7">
        <w:rPr>
          <w:color w:val="000000" w:themeColor="text1"/>
        </w:rPr>
        <w:t>宜蘭市公所坦承疏失</w:t>
      </w:r>
      <w:r w:rsidRPr="00CC0CE7">
        <w:rPr>
          <w:rStyle w:val="afc"/>
          <w:color w:val="000000" w:themeColor="text1"/>
        </w:rPr>
        <w:footnoteReference w:id="22"/>
      </w:r>
      <w:r w:rsidRPr="00CC0CE7">
        <w:rPr>
          <w:rFonts w:hint="eastAsia"/>
          <w:color w:val="000000" w:themeColor="text1"/>
        </w:rPr>
        <w:t>。是</w:t>
      </w:r>
      <w:proofErr w:type="gramStart"/>
      <w:r w:rsidRPr="00CC0CE7">
        <w:rPr>
          <w:rFonts w:hint="eastAsia"/>
          <w:color w:val="000000" w:themeColor="text1"/>
        </w:rPr>
        <w:t>以</w:t>
      </w:r>
      <w:proofErr w:type="gramEnd"/>
      <w:r w:rsidRPr="00CC0CE7">
        <w:rPr>
          <w:rFonts w:hint="eastAsia"/>
          <w:color w:val="000000" w:themeColor="text1"/>
        </w:rPr>
        <w:t>，現階段地方縣市環保單位係</w:t>
      </w:r>
      <w:r w:rsidRPr="00CC0CE7">
        <w:rPr>
          <w:color w:val="000000" w:themeColor="text1"/>
        </w:rPr>
        <w:t>把民眾分類的回收物</w:t>
      </w:r>
      <w:r w:rsidRPr="00CC0CE7">
        <w:rPr>
          <w:rFonts w:hint="eastAsia"/>
          <w:color w:val="000000" w:themeColor="text1"/>
        </w:rPr>
        <w:t>回收後，有以當作一般垃圾丟棄或混雜以</w:t>
      </w:r>
      <w:r w:rsidRPr="00CC0CE7">
        <w:rPr>
          <w:color w:val="000000" w:themeColor="text1"/>
        </w:rPr>
        <w:t>統包</w:t>
      </w:r>
      <w:r w:rsidRPr="00CC0CE7">
        <w:rPr>
          <w:rFonts w:hint="eastAsia"/>
          <w:color w:val="000000" w:themeColor="text1"/>
        </w:rPr>
        <w:t>方式之</w:t>
      </w:r>
      <w:r w:rsidRPr="00CC0CE7">
        <w:rPr>
          <w:color w:val="000000" w:themeColor="text1"/>
        </w:rPr>
        <w:t>單一價格賣給回收業者</w:t>
      </w:r>
      <w:r w:rsidRPr="00CC0CE7">
        <w:rPr>
          <w:rFonts w:hint="eastAsia"/>
          <w:color w:val="000000" w:themeColor="text1"/>
        </w:rPr>
        <w:t>，在垃圾分類及資源回收端之執行，</w:t>
      </w:r>
      <w:r w:rsidR="00C03E81" w:rsidRPr="00CC0CE7">
        <w:rPr>
          <w:rFonts w:hint="eastAsia"/>
          <w:color w:val="000000" w:themeColor="text1"/>
        </w:rPr>
        <w:t>背離</w:t>
      </w:r>
      <w:r w:rsidRPr="00CC0CE7">
        <w:rPr>
          <w:rFonts w:hint="eastAsia"/>
          <w:color w:val="000000" w:themeColor="text1"/>
        </w:rPr>
        <w:t>我國多年推動之環保政策</w:t>
      </w:r>
      <w:r w:rsidRPr="00CC0CE7">
        <w:rPr>
          <w:color w:val="000000" w:themeColor="text1"/>
        </w:rPr>
        <w:t>，</w:t>
      </w:r>
      <w:r w:rsidRPr="00CC0CE7">
        <w:rPr>
          <w:rFonts w:hint="eastAsia"/>
          <w:color w:val="000000" w:themeColor="text1"/>
        </w:rPr>
        <w:t>縣市政府在資源回收物分流管理及落實亟待建立及監督，以提高回收商資源回收意願及回收資源之利用性</w:t>
      </w:r>
      <w:r w:rsidRPr="00CC0CE7">
        <w:rPr>
          <w:color w:val="000000" w:themeColor="text1"/>
        </w:rPr>
        <w:t>。</w:t>
      </w:r>
    </w:p>
    <w:p w:rsidR="00230B77" w:rsidRPr="00CC0CE7" w:rsidRDefault="00230B77" w:rsidP="00230B77">
      <w:pPr>
        <w:pStyle w:val="3"/>
        <w:numPr>
          <w:ilvl w:val="2"/>
          <w:numId w:val="1"/>
        </w:numPr>
        <w:rPr>
          <w:color w:val="000000" w:themeColor="text1"/>
        </w:rPr>
      </w:pPr>
      <w:r w:rsidRPr="00CC0CE7">
        <w:rPr>
          <w:rFonts w:hint="eastAsia"/>
          <w:color w:val="000000" w:themeColor="text1"/>
        </w:rPr>
        <w:t>綜上，塑膠袋主要材質雖為一般廢棄物應回收項目，然依環保署歷次公告，「塑膠類」項目之回收皆不包含塑膠袋，雖部分地方政府有增訂納為回收項目進行回收，但於回收執行上，因塑膠袋後端處理廠不足，缺乏回收誘因而廠商回收意願低，</w:t>
      </w:r>
      <w:proofErr w:type="gramStart"/>
      <w:r w:rsidRPr="00CC0CE7">
        <w:rPr>
          <w:rFonts w:hint="eastAsia"/>
          <w:color w:val="000000" w:themeColor="text1"/>
        </w:rPr>
        <w:t>又限塑</w:t>
      </w:r>
      <w:proofErr w:type="gramEnd"/>
      <w:r w:rsidRPr="00CC0CE7">
        <w:rPr>
          <w:rFonts w:hint="eastAsia"/>
          <w:color w:val="000000" w:themeColor="text1"/>
        </w:rPr>
        <w:t>政策源頭管制民眾使用上之闕漏，使回收循環機制不</w:t>
      </w:r>
      <w:proofErr w:type="gramStart"/>
      <w:r w:rsidRPr="00CC0CE7">
        <w:rPr>
          <w:rFonts w:hint="eastAsia"/>
          <w:color w:val="000000" w:themeColor="text1"/>
        </w:rPr>
        <w:t>健全，</w:t>
      </w:r>
      <w:proofErr w:type="gramEnd"/>
      <w:r w:rsidRPr="00CC0CE7">
        <w:rPr>
          <w:rFonts w:hint="eastAsia"/>
          <w:color w:val="000000" w:themeColor="text1"/>
        </w:rPr>
        <w:t>亟待改善。另環保署雖推動資源回收及垃圾強制分類多年，然地方縣市政府環保單位在執行上，有以當作一般垃圾丟棄或把民眾分類的回收物回收後，混雜以統包方式之單一價格賣給回收業者，在垃圾分類及資源回收端之執行，</w:t>
      </w:r>
      <w:r w:rsidR="00C03E81" w:rsidRPr="00CC0CE7">
        <w:rPr>
          <w:rFonts w:hint="eastAsia"/>
          <w:color w:val="000000" w:themeColor="text1"/>
        </w:rPr>
        <w:t>背離</w:t>
      </w:r>
      <w:r w:rsidRPr="00CC0CE7">
        <w:rPr>
          <w:rFonts w:hint="eastAsia"/>
          <w:color w:val="000000" w:themeColor="text1"/>
        </w:rPr>
        <w:t>我國多年推動之環保政策，為提高回收商資源回收意願及回收資源利用性，環保署應予建立資源回收物分流管理，並善盡監督縣市政府環保單位落實執行之責。</w:t>
      </w:r>
    </w:p>
    <w:p w:rsidR="00286B1B" w:rsidRPr="00CC0CE7" w:rsidRDefault="00E25849" w:rsidP="00C86866">
      <w:pPr>
        <w:pStyle w:val="11"/>
        <w:ind w:left="680" w:firstLine="680"/>
        <w:rPr>
          <w:color w:val="000000" w:themeColor="text1"/>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rsidRPr="00CC0CE7">
        <w:rPr>
          <w:color w:val="000000" w:themeColor="text1"/>
        </w:rPr>
        <w:br w:type="page"/>
      </w:r>
      <w:bookmarkStart w:id="54" w:name="_Toc524902730"/>
      <w:bookmarkEnd w:id="44"/>
      <w:bookmarkEnd w:id="45"/>
      <w:bookmarkEnd w:id="46"/>
      <w:bookmarkEnd w:id="47"/>
      <w:bookmarkEnd w:id="48"/>
      <w:bookmarkEnd w:id="49"/>
      <w:bookmarkEnd w:id="50"/>
      <w:bookmarkEnd w:id="51"/>
      <w:bookmarkEnd w:id="52"/>
      <w:bookmarkEnd w:id="53"/>
      <w:r w:rsidR="00230B77" w:rsidRPr="00CC0CE7">
        <w:rPr>
          <w:rFonts w:ascii="Times New Roman" w:hint="eastAsia"/>
          <w:color w:val="000000" w:themeColor="text1"/>
          <w:kern w:val="2"/>
        </w:rPr>
        <w:lastRenderedPageBreak/>
        <w:t>綜上所述，</w:t>
      </w:r>
      <w:r w:rsidR="00FC1BF0" w:rsidRPr="00CC0CE7">
        <w:rPr>
          <w:rFonts w:ascii="Times New Roman" w:hint="eastAsia"/>
          <w:color w:val="000000" w:themeColor="text1"/>
          <w:kern w:val="2"/>
        </w:rPr>
        <w:t>環保署於</w:t>
      </w:r>
      <w:r w:rsidR="00FC1BF0" w:rsidRPr="00CC0CE7">
        <w:rPr>
          <w:rFonts w:ascii="Times New Roman" w:hint="eastAsia"/>
          <w:color w:val="000000" w:themeColor="text1"/>
          <w:kern w:val="2"/>
        </w:rPr>
        <w:t>91</w:t>
      </w:r>
      <w:r w:rsidR="00FC1BF0" w:rsidRPr="00CC0CE7">
        <w:rPr>
          <w:rFonts w:ascii="Times New Roman" w:hint="eastAsia"/>
          <w:color w:val="000000" w:themeColor="text1"/>
          <w:kern w:val="2"/>
        </w:rPr>
        <w:t>年實施第一</w:t>
      </w:r>
      <w:proofErr w:type="gramStart"/>
      <w:r w:rsidR="00FC1BF0" w:rsidRPr="00CC0CE7">
        <w:rPr>
          <w:rFonts w:ascii="Times New Roman" w:hint="eastAsia"/>
          <w:color w:val="000000" w:themeColor="text1"/>
          <w:kern w:val="2"/>
        </w:rPr>
        <w:t>波限塑</w:t>
      </w:r>
      <w:proofErr w:type="gramEnd"/>
      <w:r w:rsidR="00FC1BF0" w:rsidRPr="00CC0CE7">
        <w:rPr>
          <w:rFonts w:ascii="Times New Roman" w:hint="eastAsia"/>
          <w:color w:val="000000" w:themeColor="text1"/>
          <w:kern w:val="2"/>
        </w:rPr>
        <w:t>措施後，在塑膠袋減少使用量上雖有初步成果，然其後該署以國人消費特性，於</w:t>
      </w:r>
      <w:r w:rsidR="00FC1BF0" w:rsidRPr="00CC0CE7">
        <w:rPr>
          <w:rFonts w:ascii="Times New Roman" w:hint="eastAsia"/>
          <w:color w:val="000000" w:themeColor="text1"/>
          <w:kern w:val="2"/>
        </w:rPr>
        <w:t>95</w:t>
      </w:r>
      <w:r w:rsidR="00FC1BF0" w:rsidRPr="00CC0CE7">
        <w:rPr>
          <w:rFonts w:ascii="Times New Roman" w:hint="eastAsia"/>
          <w:color w:val="000000" w:themeColor="text1"/>
          <w:kern w:val="2"/>
        </w:rPr>
        <w:t>年修正公告取消有店面餐飲業管制，放寬限</w:t>
      </w:r>
      <w:proofErr w:type="gramStart"/>
      <w:r w:rsidR="00FC1BF0" w:rsidRPr="00CC0CE7">
        <w:rPr>
          <w:rFonts w:ascii="Times New Roman" w:hint="eastAsia"/>
          <w:color w:val="000000" w:themeColor="text1"/>
          <w:kern w:val="2"/>
        </w:rPr>
        <w:t>塑</w:t>
      </w:r>
      <w:proofErr w:type="gramEnd"/>
      <w:r w:rsidR="00FC1BF0" w:rsidRPr="00CC0CE7">
        <w:rPr>
          <w:rFonts w:ascii="Times New Roman" w:hint="eastAsia"/>
          <w:color w:val="000000" w:themeColor="text1"/>
          <w:kern w:val="2"/>
        </w:rPr>
        <w:t>措施，未能持續以</w:t>
      </w:r>
      <w:r w:rsidR="00C03E81" w:rsidRPr="00CC0CE7">
        <w:rPr>
          <w:rFonts w:ascii="Times New Roman" w:hint="eastAsia"/>
          <w:color w:val="000000" w:themeColor="text1"/>
          <w:kern w:val="2"/>
        </w:rPr>
        <w:t>澈底</w:t>
      </w:r>
      <w:r w:rsidR="00FC1BF0" w:rsidRPr="00CC0CE7">
        <w:rPr>
          <w:rFonts w:ascii="Times New Roman" w:hint="eastAsia"/>
          <w:color w:val="000000" w:themeColor="text1"/>
          <w:kern w:val="2"/>
        </w:rPr>
        <w:t>改變民眾使用習慣，延宕塑膠袋禁用時程，顯有</w:t>
      </w:r>
      <w:proofErr w:type="gramStart"/>
      <w:r w:rsidR="00FC1BF0" w:rsidRPr="00CC0CE7">
        <w:rPr>
          <w:rFonts w:ascii="Times New Roman" w:hint="eastAsia"/>
          <w:color w:val="000000" w:themeColor="text1"/>
          <w:kern w:val="2"/>
        </w:rPr>
        <w:t>怠</w:t>
      </w:r>
      <w:proofErr w:type="gramEnd"/>
      <w:r w:rsidR="00FC1BF0" w:rsidRPr="00CC0CE7">
        <w:rPr>
          <w:rFonts w:ascii="Times New Roman" w:hint="eastAsia"/>
          <w:color w:val="000000" w:themeColor="text1"/>
          <w:kern w:val="2"/>
        </w:rPr>
        <w:t>失；</w:t>
      </w:r>
      <w:proofErr w:type="gramStart"/>
      <w:r w:rsidR="00FC1BF0" w:rsidRPr="00CC0CE7">
        <w:rPr>
          <w:rFonts w:ascii="Times New Roman" w:hint="eastAsia"/>
          <w:color w:val="000000" w:themeColor="text1"/>
          <w:kern w:val="2"/>
        </w:rPr>
        <w:t>再依近</w:t>
      </w:r>
      <w:r w:rsidR="00FC1BF0" w:rsidRPr="00CC0CE7">
        <w:rPr>
          <w:rFonts w:ascii="Times New Roman" w:hint="eastAsia"/>
          <w:color w:val="000000" w:themeColor="text1"/>
          <w:kern w:val="2"/>
        </w:rPr>
        <w:t>10</w:t>
      </w:r>
      <w:r w:rsidR="00FC1BF0" w:rsidRPr="00CC0CE7">
        <w:rPr>
          <w:rFonts w:ascii="Times New Roman" w:hint="eastAsia"/>
          <w:color w:val="000000" w:themeColor="text1"/>
          <w:kern w:val="2"/>
        </w:rPr>
        <w:t>年</w:t>
      </w:r>
      <w:proofErr w:type="gramEnd"/>
      <w:r w:rsidR="00FC1BF0" w:rsidRPr="00CC0CE7">
        <w:rPr>
          <w:rFonts w:ascii="Times New Roman" w:hint="eastAsia"/>
          <w:color w:val="000000" w:themeColor="text1"/>
          <w:kern w:val="2"/>
        </w:rPr>
        <w:t>國內塑膠袋使用量顯示，</w:t>
      </w:r>
      <w:proofErr w:type="gramStart"/>
      <w:r w:rsidR="00FC1BF0" w:rsidRPr="00CC0CE7">
        <w:rPr>
          <w:rFonts w:ascii="Times New Roman" w:hint="eastAsia"/>
          <w:color w:val="000000" w:themeColor="text1"/>
          <w:kern w:val="2"/>
        </w:rPr>
        <w:t>推動限塑源頭</w:t>
      </w:r>
      <w:proofErr w:type="gramEnd"/>
      <w:r w:rsidR="00FC1BF0" w:rsidRPr="00CC0CE7">
        <w:rPr>
          <w:rFonts w:ascii="Times New Roman" w:hint="eastAsia"/>
          <w:color w:val="000000" w:themeColor="text1"/>
          <w:kern w:val="2"/>
        </w:rPr>
        <w:t>減量多年，國內塑膠袋整體生產及使用量不減反增；且推動塑膠產業轉型多年，迄未有普及適當替代品及業界尚待政府輔導轉型亟待解決，難辭執行不力之</w:t>
      </w:r>
      <w:proofErr w:type="gramStart"/>
      <w:r w:rsidR="00FC1BF0" w:rsidRPr="00CC0CE7">
        <w:rPr>
          <w:rFonts w:ascii="Times New Roman" w:hint="eastAsia"/>
          <w:color w:val="000000" w:themeColor="text1"/>
          <w:kern w:val="2"/>
        </w:rPr>
        <w:t>咎</w:t>
      </w:r>
      <w:proofErr w:type="gramEnd"/>
      <w:r w:rsidR="00FC1BF0" w:rsidRPr="00CC0CE7">
        <w:rPr>
          <w:rFonts w:ascii="Times New Roman" w:hint="eastAsia"/>
          <w:color w:val="000000" w:themeColor="text1"/>
          <w:kern w:val="2"/>
        </w:rPr>
        <w:t>。另因塑膠袋後端處理廠不足，缺乏回收誘因而廠商回收意願低，</w:t>
      </w:r>
      <w:proofErr w:type="gramStart"/>
      <w:r w:rsidR="00FC1BF0" w:rsidRPr="00CC0CE7">
        <w:rPr>
          <w:rFonts w:ascii="Times New Roman" w:hint="eastAsia"/>
          <w:color w:val="000000" w:themeColor="text1"/>
          <w:kern w:val="2"/>
        </w:rPr>
        <w:t>且限塑政策</w:t>
      </w:r>
      <w:proofErr w:type="gramEnd"/>
      <w:r w:rsidR="00FC1BF0" w:rsidRPr="00CC0CE7">
        <w:rPr>
          <w:rFonts w:ascii="Times New Roman" w:hint="eastAsia"/>
          <w:color w:val="000000" w:themeColor="text1"/>
          <w:kern w:val="2"/>
        </w:rPr>
        <w:t>源頭管制民眾使用上之闕漏</w:t>
      </w:r>
      <w:r w:rsidR="00D8008E" w:rsidRPr="00CC0CE7">
        <w:rPr>
          <w:rFonts w:hint="eastAsia"/>
          <w:color w:val="000000" w:themeColor="text1"/>
        </w:rPr>
        <w:t>及歷年宣導教育未能有效澈底改變</w:t>
      </w:r>
      <w:r w:rsidR="00D8008E" w:rsidRPr="00CC0CE7">
        <w:rPr>
          <w:color w:val="000000" w:themeColor="text1"/>
        </w:rPr>
        <w:t>民眾</w:t>
      </w:r>
      <w:r w:rsidR="00D8008E" w:rsidRPr="00CC0CE7">
        <w:rPr>
          <w:rFonts w:hint="eastAsia"/>
          <w:color w:val="000000" w:themeColor="text1"/>
        </w:rPr>
        <w:t>使用行為</w:t>
      </w:r>
      <w:r w:rsidR="00FC1BF0" w:rsidRPr="00CC0CE7">
        <w:rPr>
          <w:rFonts w:ascii="Times New Roman" w:hint="eastAsia"/>
          <w:color w:val="000000" w:themeColor="text1"/>
          <w:kern w:val="2"/>
        </w:rPr>
        <w:t>，使回收循環機制不</w:t>
      </w:r>
      <w:proofErr w:type="gramStart"/>
      <w:r w:rsidR="00FC1BF0" w:rsidRPr="00CC0CE7">
        <w:rPr>
          <w:rFonts w:ascii="Times New Roman" w:hint="eastAsia"/>
          <w:color w:val="000000" w:themeColor="text1"/>
          <w:kern w:val="2"/>
        </w:rPr>
        <w:t>健全，</w:t>
      </w:r>
      <w:proofErr w:type="gramEnd"/>
      <w:r w:rsidR="00FC1BF0" w:rsidRPr="00CC0CE7">
        <w:rPr>
          <w:rFonts w:ascii="Times New Roman" w:hint="eastAsia"/>
          <w:color w:val="000000" w:themeColor="text1"/>
          <w:kern w:val="2"/>
        </w:rPr>
        <w:t>亟待改善；又環保署推動資源回收及垃圾強制分類多年，然地方縣市政府環保單位，有以當作一般垃圾丟棄或把民眾分類的回收物回收後，混雜以統包方式賣給回收業者，在垃圾分類及資源回收端之執行，</w:t>
      </w:r>
      <w:r w:rsidR="00C03E81" w:rsidRPr="00CC0CE7">
        <w:rPr>
          <w:rFonts w:ascii="Times New Roman" w:hint="eastAsia"/>
          <w:color w:val="000000" w:themeColor="text1"/>
          <w:kern w:val="2"/>
        </w:rPr>
        <w:t>背離</w:t>
      </w:r>
      <w:r w:rsidR="00FC1BF0" w:rsidRPr="00CC0CE7">
        <w:rPr>
          <w:rFonts w:ascii="Times New Roman" w:hint="eastAsia"/>
          <w:color w:val="000000" w:themeColor="text1"/>
          <w:kern w:val="2"/>
        </w:rPr>
        <w:t>我國多年推動之環保政策，</w:t>
      </w:r>
      <w:proofErr w:type="gramStart"/>
      <w:r w:rsidR="00FC1BF0" w:rsidRPr="00CC0CE7">
        <w:rPr>
          <w:rFonts w:ascii="Times New Roman" w:hint="eastAsia"/>
          <w:color w:val="000000" w:themeColor="text1"/>
          <w:kern w:val="2"/>
        </w:rPr>
        <w:t>均有違</w:t>
      </w:r>
      <w:proofErr w:type="gramEnd"/>
      <w:r w:rsidR="00FC1BF0" w:rsidRPr="00CC0CE7">
        <w:rPr>
          <w:rFonts w:ascii="Times New Roman" w:hint="eastAsia"/>
          <w:color w:val="000000" w:themeColor="text1"/>
          <w:kern w:val="2"/>
        </w:rPr>
        <w:t>失</w:t>
      </w:r>
      <w:r w:rsidR="000512D1" w:rsidRPr="00CC0CE7">
        <w:rPr>
          <w:rFonts w:hint="eastAsia"/>
          <w:color w:val="000000" w:themeColor="text1"/>
        </w:rPr>
        <w:t>，</w:t>
      </w:r>
      <w:proofErr w:type="gramStart"/>
      <w:r w:rsidR="000512D1" w:rsidRPr="00CC0CE7">
        <w:rPr>
          <w:rFonts w:hint="eastAsia"/>
          <w:color w:val="000000" w:themeColor="text1"/>
        </w:rPr>
        <w:t>爰</w:t>
      </w:r>
      <w:proofErr w:type="gramEnd"/>
      <w:r w:rsidR="000512D1" w:rsidRPr="00CC0CE7">
        <w:rPr>
          <w:rFonts w:hint="eastAsia"/>
          <w:color w:val="000000" w:themeColor="text1"/>
        </w:rPr>
        <w:t>依</w:t>
      </w:r>
      <w:r w:rsidR="001B48EB" w:rsidRPr="00CC0CE7">
        <w:rPr>
          <w:rFonts w:hint="eastAsia"/>
          <w:bCs/>
          <w:color w:val="000000" w:themeColor="text1"/>
        </w:rPr>
        <w:t>憲法第97條第1項及</w:t>
      </w:r>
      <w:r w:rsidR="000512D1" w:rsidRPr="00CC0CE7">
        <w:rPr>
          <w:rFonts w:hint="eastAsia"/>
          <w:color w:val="000000" w:themeColor="text1"/>
        </w:rPr>
        <w:t>監察法第24條</w:t>
      </w:r>
      <w:r w:rsidR="00396EC5" w:rsidRPr="00CC0CE7">
        <w:rPr>
          <w:rFonts w:hint="eastAsia"/>
          <w:color w:val="000000" w:themeColor="text1"/>
        </w:rPr>
        <w:t>之</w:t>
      </w:r>
      <w:r w:rsidR="000512D1" w:rsidRPr="00CC0CE7">
        <w:rPr>
          <w:rFonts w:hint="eastAsia"/>
          <w:color w:val="000000" w:themeColor="text1"/>
        </w:rPr>
        <w:t>規定提案糾正，移送行政院轉</w:t>
      </w:r>
      <w:proofErr w:type="gramStart"/>
      <w:r w:rsidR="000512D1" w:rsidRPr="00CC0CE7">
        <w:rPr>
          <w:rFonts w:hint="eastAsia"/>
          <w:color w:val="000000" w:themeColor="text1"/>
        </w:rPr>
        <w:t>飭</w:t>
      </w:r>
      <w:proofErr w:type="gramEnd"/>
      <w:r w:rsidR="000512D1" w:rsidRPr="00CC0CE7">
        <w:rPr>
          <w:rFonts w:hint="eastAsia"/>
          <w:color w:val="000000" w:themeColor="text1"/>
        </w:rPr>
        <w:t>所屬確實檢討改善</w:t>
      </w:r>
      <w:proofErr w:type="gramStart"/>
      <w:r w:rsidR="000512D1" w:rsidRPr="00CC0CE7">
        <w:rPr>
          <w:rFonts w:hint="eastAsia"/>
          <w:color w:val="000000" w:themeColor="text1"/>
        </w:rPr>
        <w:t>見復</w:t>
      </w:r>
      <w:r w:rsidR="00286B1B" w:rsidRPr="00CC0CE7">
        <w:rPr>
          <w:rFonts w:hint="eastAsia"/>
          <w:color w:val="000000" w:themeColor="text1"/>
        </w:rPr>
        <w:t>。</w:t>
      </w:r>
      <w:proofErr w:type="gramEnd"/>
    </w:p>
    <w:p w:rsidR="00451E78" w:rsidRPr="00CC0CE7" w:rsidRDefault="00451E78" w:rsidP="00133AA2">
      <w:pPr>
        <w:pStyle w:val="af"/>
        <w:rPr>
          <w:bCs/>
          <w:color w:val="000000" w:themeColor="text1"/>
        </w:rPr>
      </w:pPr>
      <w:bookmarkStart w:id="55" w:name="_Toc524895649"/>
      <w:bookmarkStart w:id="56" w:name="_Toc524896195"/>
      <w:bookmarkStart w:id="57" w:name="_Toc524896225"/>
      <w:bookmarkEnd w:id="54"/>
      <w:bookmarkEnd w:id="55"/>
      <w:bookmarkEnd w:id="56"/>
      <w:bookmarkEnd w:id="57"/>
    </w:p>
    <w:sectPr w:rsidR="00451E78" w:rsidRPr="00CC0CE7"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F46" w:rsidRDefault="006A3F46">
      <w:r>
        <w:separator/>
      </w:r>
    </w:p>
  </w:endnote>
  <w:endnote w:type="continuationSeparator" w:id="0">
    <w:p w:rsidR="006A3F46" w:rsidRDefault="006A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C63E5">
      <w:rPr>
        <w:rStyle w:val="ac"/>
        <w:noProof/>
        <w:sz w:val="24"/>
      </w:rPr>
      <w:t>18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F46" w:rsidRDefault="006A3F46">
      <w:r>
        <w:separator/>
      </w:r>
    </w:p>
  </w:footnote>
  <w:footnote w:type="continuationSeparator" w:id="0">
    <w:p w:rsidR="006A3F46" w:rsidRDefault="006A3F46">
      <w:r>
        <w:continuationSeparator/>
      </w:r>
    </w:p>
  </w:footnote>
  <w:footnote w:id="1">
    <w:p w:rsidR="00230B77" w:rsidRDefault="00230B77" w:rsidP="00230B77">
      <w:pPr>
        <w:pStyle w:val="afa"/>
        <w:jc w:val="both"/>
      </w:pPr>
      <w:r>
        <w:rPr>
          <w:rStyle w:val="afc"/>
        </w:rPr>
        <w:footnoteRef/>
      </w:r>
      <w:r>
        <w:rPr>
          <w:rFonts w:hint="eastAsia"/>
        </w:rPr>
        <w:t xml:space="preserve"> </w:t>
      </w:r>
      <w:r w:rsidRPr="00C21C0C">
        <w:rPr>
          <w:rFonts w:hint="eastAsia"/>
        </w:rPr>
        <w:t>立法院90年10月16日九○</w:t>
      </w:r>
      <w:proofErr w:type="gramStart"/>
      <w:r>
        <w:rPr>
          <w:rFonts w:hint="eastAsia"/>
        </w:rPr>
        <w:t>臺</w:t>
      </w:r>
      <w:proofErr w:type="gramEnd"/>
      <w:r w:rsidRPr="00C21C0C">
        <w:rPr>
          <w:rFonts w:hint="eastAsia"/>
        </w:rPr>
        <w:t>立議字第3082號函、行政院90年10月22日</w:t>
      </w:r>
      <w:proofErr w:type="gramStart"/>
      <w:r>
        <w:rPr>
          <w:rFonts w:hint="eastAsia"/>
        </w:rPr>
        <w:t>臺</w:t>
      </w:r>
      <w:r w:rsidRPr="00C21C0C">
        <w:rPr>
          <w:rFonts w:hint="eastAsia"/>
        </w:rPr>
        <w:t>九十環字第061941號</w:t>
      </w:r>
      <w:proofErr w:type="gramEnd"/>
      <w:r w:rsidRPr="00C21C0C">
        <w:rPr>
          <w:rFonts w:hint="eastAsia"/>
        </w:rPr>
        <w:t>函。</w:t>
      </w:r>
    </w:p>
  </w:footnote>
  <w:footnote w:id="2">
    <w:p w:rsidR="00230B77" w:rsidRDefault="00230B77" w:rsidP="00230B77">
      <w:pPr>
        <w:pStyle w:val="afa"/>
        <w:jc w:val="both"/>
      </w:pPr>
      <w:r>
        <w:rPr>
          <w:rStyle w:val="afc"/>
        </w:rPr>
        <w:footnoteRef/>
      </w:r>
      <w:r>
        <w:rPr>
          <w:rFonts w:hint="eastAsia"/>
        </w:rPr>
        <w:t xml:space="preserve"> </w:t>
      </w:r>
      <w:r w:rsidRPr="00C21C0C">
        <w:rPr>
          <w:rFonts w:hint="eastAsia"/>
        </w:rPr>
        <w:t>本院91</w:t>
      </w:r>
      <w:r w:rsidRPr="00C21C0C">
        <w:rPr>
          <w:rFonts w:hint="eastAsia"/>
        </w:rPr>
        <w:t>年調查「據立法委員鄭三元陳訴：「行政院環境保護署於九十一年三月宣佈『購物用塑膠袋及塑膠類（含保麗龍）免洗餐具之限用政策』，惟其政策內容定義不明，且乏配套措施，對於勞工轉業與產業轉型均未</w:t>
      </w:r>
      <w:proofErr w:type="gramStart"/>
      <w:r w:rsidRPr="00C21C0C">
        <w:rPr>
          <w:rFonts w:hint="eastAsia"/>
        </w:rPr>
        <w:t>研</w:t>
      </w:r>
      <w:proofErr w:type="gramEnd"/>
      <w:r w:rsidRPr="00C21C0C">
        <w:rPr>
          <w:rFonts w:hint="eastAsia"/>
        </w:rPr>
        <w:t>議，且未就資源如何回收等環保工作與業者溝通等情。」乙案調查報告。</w:t>
      </w:r>
    </w:p>
  </w:footnote>
  <w:footnote w:id="3">
    <w:p w:rsidR="00230B77" w:rsidRDefault="00230B77" w:rsidP="00230B77">
      <w:pPr>
        <w:pStyle w:val="afa"/>
      </w:pPr>
      <w:r>
        <w:rPr>
          <w:rStyle w:val="afc"/>
        </w:rPr>
        <w:footnoteRef/>
      </w:r>
      <w:r>
        <w:rPr>
          <w:rFonts w:hint="eastAsia"/>
        </w:rPr>
        <w:t xml:space="preserve"> </w:t>
      </w:r>
      <w:r w:rsidRPr="0055482A">
        <w:rPr>
          <w:rFonts w:hint="eastAsia"/>
        </w:rPr>
        <w:t>環保署107</w:t>
      </w:r>
      <w:r w:rsidRPr="0055482A">
        <w:rPr>
          <w:rFonts w:hint="eastAsia"/>
        </w:rPr>
        <w:t>年7月12日環</w:t>
      </w:r>
      <w:proofErr w:type="gramStart"/>
      <w:r w:rsidRPr="0055482A">
        <w:rPr>
          <w:rFonts w:hint="eastAsia"/>
        </w:rPr>
        <w:t>署廢字</w:t>
      </w:r>
      <w:proofErr w:type="gramEnd"/>
      <w:r w:rsidRPr="0055482A">
        <w:rPr>
          <w:rFonts w:hint="eastAsia"/>
        </w:rPr>
        <w:t>第1070055055號函。</w:t>
      </w:r>
    </w:p>
  </w:footnote>
  <w:footnote w:id="4">
    <w:p w:rsidR="00230B77" w:rsidRDefault="00230B77" w:rsidP="00230B77">
      <w:pPr>
        <w:pStyle w:val="afa"/>
      </w:pPr>
      <w:r>
        <w:rPr>
          <w:rStyle w:val="afc"/>
        </w:rPr>
        <w:footnoteRef/>
      </w:r>
      <w:r>
        <w:rPr>
          <w:rFonts w:hint="eastAsia"/>
        </w:rPr>
        <w:t xml:space="preserve"> 臺</w:t>
      </w:r>
      <w:r w:rsidRPr="009D5302">
        <w:rPr>
          <w:rFonts w:hint="eastAsia"/>
        </w:rPr>
        <w:t>灣清淨海洋行動聯盟</w:t>
      </w:r>
      <w:proofErr w:type="gramStart"/>
      <w:r w:rsidRPr="009D5302">
        <w:rPr>
          <w:rFonts w:hint="eastAsia"/>
        </w:rPr>
        <w:t>由環資</w:t>
      </w:r>
      <w:proofErr w:type="gramEnd"/>
      <w:r w:rsidRPr="009D5302">
        <w:rPr>
          <w:rFonts w:hint="eastAsia"/>
        </w:rPr>
        <w:t>、荒野保護協會、黑潮海洋基金會、</w:t>
      </w:r>
      <w:proofErr w:type="gramStart"/>
      <w:r>
        <w:rPr>
          <w:rFonts w:hint="eastAsia"/>
        </w:rPr>
        <w:t>臺</w:t>
      </w:r>
      <w:proofErr w:type="gramEnd"/>
      <w:r w:rsidRPr="009D5302">
        <w:rPr>
          <w:rFonts w:hint="eastAsia"/>
        </w:rPr>
        <w:t>南社大、</w:t>
      </w:r>
      <w:proofErr w:type="gramStart"/>
      <w:r w:rsidRPr="009D5302">
        <w:rPr>
          <w:rFonts w:hint="eastAsia"/>
        </w:rPr>
        <w:t>海科館</w:t>
      </w:r>
      <w:proofErr w:type="gramEnd"/>
      <w:r w:rsidRPr="009D5302">
        <w:rPr>
          <w:rFonts w:hint="eastAsia"/>
        </w:rPr>
        <w:t>等團體所組成，他們不只是舉辦淨灘活動率民眾清理海灘上的垃圾，更</w:t>
      </w:r>
      <w:proofErr w:type="gramStart"/>
      <w:r w:rsidRPr="009D5302">
        <w:rPr>
          <w:rFonts w:hint="eastAsia"/>
        </w:rPr>
        <w:t>會對撿到</w:t>
      </w:r>
      <w:proofErr w:type="gramEnd"/>
      <w:r w:rsidRPr="009D5302">
        <w:rPr>
          <w:rFonts w:hint="eastAsia"/>
        </w:rPr>
        <w:t>的垃圾進行監測與分析。</w:t>
      </w:r>
    </w:p>
  </w:footnote>
  <w:footnote w:id="5">
    <w:p w:rsidR="00230B77" w:rsidRDefault="00230B77" w:rsidP="00230B77">
      <w:pPr>
        <w:pStyle w:val="afa"/>
      </w:pPr>
      <w:r>
        <w:rPr>
          <w:rStyle w:val="afc"/>
        </w:rPr>
        <w:footnoteRef/>
      </w:r>
      <w:r>
        <w:t xml:space="preserve"> </w:t>
      </w:r>
      <w:r w:rsidRPr="00DB1EA0">
        <w:rPr>
          <w:rFonts w:hint="eastAsia"/>
        </w:rPr>
        <w:t xml:space="preserve">https://www.gvm.com.tw/article.html?id=60425  </w:t>
      </w:r>
      <w:r w:rsidRPr="00DB1EA0">
        <w:rPr>
          <w:rFonts w:hint="eastAsia"/>
        </w:rPr>
        <w:t>遠見雜誌「跟塑膠陋習說再見！歐盟決議全面禁用一次性塑料」</w:t>
      </w:r>
    </w:p>
  </w:footnote>
  <w:footnote w:id="6">
    <w:p w:rsidR="00230B77" w:rsidRDefault="00230B77" w:rsidP="00230B77">
      <w:pPr>
        <w:pStyle w:val="afa"/>
      </w:pPr>
      <w:r>
        <w:rPr>
          <w:rStyle w:val="afc"/>
        </w:rPr>
        <w:footnoteRef/>
      </w:r>
      <w:r>
        <w:rPr>
          <w:rFonts w:hint="eastAsia"/>
        </w:rPr>
        <w:t xml:space="preserve"> </w:t>
      </w:r>
      <w:r w:rsidRPr="00DB1EA0">
        <w:rPr>
          <w:rFonts w:hint="eastAsia"/>
        </w:rPr>
        <w:t>綠色和平</w:t>
      </w:r>
      <w:r>
        <w:rPr>
          <w:rFonts w:hint="eastAsia"/>
        </w:rPr>
        <w:t>臺</w:t>
      </w:r>
      <w:r w:rsidRPr="00DB1EA0">
        <w:rPr>
          <w:rFonts w:hint="eastAsia"/>
        </w:rPr>
        <w:t>灣辦公室提供，並彙整</w:t>
      </w:r>
      <w:proofErr w:type="gramStart"/>
      <w:r w:rsidRPr="00DB1EA0">
        <w:rPr>
          <w:rFonts w:hint="eastAsia"/>
        </w:rPr>
        <w:t>自</w:t>
      </w:r>
      <w:proofErr w:type="gramEnd"/>
      <w:r w:rsidRPr="00DB1EA0">
        <w:rPr>
          <w:rFonts w:hint="eastAsia"/>
        </w:rPr>
        <w:t>：綠色和平</w:t>
      </w:r>
      <w:r>
        <w:rPr>
          <w:rFonts w:hint="eastAsia"/>
        </w:rPr>
        <w:t>臺</w:t>
      </w:r>
      <w:r w:rsidRPr="00DB1EA0">
        <w:rPr>
          <w:rFonts w:hint="eastAsia"/>
        </w:rPr>
        <w:t>灣網(2018)</w:t>
      </w:r>
      <w:r w:rsidRPr="00DB1EA0">
        <w:rPr>
          <w:rFonts w:hint="eastAsia"/>
        </w:rPr>
        <w:t>，〈別讓我們的方便 成為地球的塑便〉，6月21日，https://www.greenpeace.org/taiwan/zh/press/releases/oceans/2018/plastic-pollution/ (檢索日期：2018/7/1)。</w:t>
      </w:r>
    </w:p>
  </w:footnote>
  <w:footnote w:id="7">
    <w:p w:rsidR="00230B77" w:rsidRDefault="00230B77" w:rsidP="00230B77">
      <w:pPr>
        <w:pStyle w:val="afa"/>
      </w:pPr>
      <w:r>
        <w:rPr>
          <w:rStyle w:val="afc"/>
        </w:rPr>
        <w:footnoteRef/>
      </w:r>
      <w:r>
        <w:rPr>
          <w:rFonts w:hint="eastAsia"/>
        </w:rPr>
        <w:t xml:space="preserve"> </w:t>
      </w:r>
      <w:r w:rsidRPr="00DE7B52">
        <w:rPr>
          <w:rFonts w:hint="eastAsia"/>
        </w:rPr>
        <w:t>環保署</w:t>
      </w:r>
      <w:r>
        <w:rPr>
          <w:rFonts w:hint="eastAsia"/>
        </w:rPr>
        <w:t>詢問</w:t>
      </w:r>
      <w:r w:rsidRPr="00DE7B52">
        <w:rPr>
          <w:rFonts w:hint="eastAsia"/>
        </w:rPr>
        <w:t>後書面補充資料。</w:t>
      </w:r>
    </w:p>
  </w:footnote>
  <w:footnote w:id="8">
    <w:p w:rsidR="00230B77" w:rsidRDefault="00230B77" w:rsidP="00230B77">
      <w:pPr>
        <w:pStyle w:val="afa"/>
      </w:pPr>
      <w:r>
        <w:rPr>
          <w:rStyle w:val="afc"/>
        </w:rPr>
        <w:footnoteRef/>
      </w:r>
      <w:r>
        <w:rPr>
          <w:rFonts w:hint="eastAsia"/>
        </w:rPr>
        <w:t xml:space="preserve"> </w:t>
      </w:r>
      <w:r w:rsidRPr="00DE7B52">
        <w:rPr>
          <w:rFonts w:hint="eastAsia"/>
        </w:rPr>
        <w:t>環保署107年7月12日環</w:t>
      </w:r>
      <w:proofErr w:type="gramStart"/>
      <w:r w:rsidRPr="00DE7B52">
        <w:rPr>
          <w:rFonts w:hint="eastAsia"/>
        </w:rPr>
        <w:t>署廢字</w:t>
      </w:r>
      <w:proofErr w:type="gramEnd"/>
      <w:r w:rsidRPr="00DE7B52">
        <w:rPr>
          <w:rFonts w:hint="eastAsia"/>
        </w:rPr>
        <w:t>第1070055055號函。</w:t>
      </w:r>
    </w:p>
  </w:footnote>
  <w:footnote w:id="9">
    <w:p w:rsidR="00230B77" w:rsidRPr="0017365A" w:rsidRDefault="00230B77" w:rsidP="00230B77">
      <w:pPr>
        <w:pStyle w:val="afa"/>
      </w:pPr>
      <w:r>
        <w:rPr>
          <w:rStyle w:val="afc"/>
        </w:rPr>
        <w:footnoteRef/>
      </w:r>
      <w:r>
        <w:t xml:space="preserve"> </w:t>
      </w:r>
      <w:hyperlink r:id="rId1" w:history="1">
        <w:r w:rsidRPr="00495B33">
          <w:rPr>
            <w:rStyle w:val="ae"/>
          </w:rPr>
          <w:t>https://udn.com/news/story/7266/3726270</w:t>
        </w:r>
      </w:hyperlink>
      <w:r w:rsidRPr="00C61AD3">
        <w:rPr>
          <w:rStyle w:val="ae"/>
          <w:rFonts w:hint="eastAsia"/>
          <w:u w:val="none"/>
        </w:rPr>
        <w:t xml:space="preserve">   </w:t>
      </w:r>
      <w:r w:rsidRPr="0017365A">
        <w:rPr>
          <w:rFonts w:hint="eastAsia"/>
          <w:color w:val="0000FF"/>
        </w:rPr>
        <w:t>「塑膠袋垃圾危機 真正回收不到一成」</w:t>
      </w:r>
    </w:p>
  </w:footnote>
  <w:footnote w:id="10">
    <w:p w:rsidR="00230B77" w:rsidRPr="009717CA" w:rsidRDefault="00230B77" w:rsidP="00230B77">
      <w:pPr>
        <w:pStyle w:val="afa"/>
      </w:pPr>
      <w:r w:rsidRPr="0017365A">
        <w:rPr>
          <w:rStyle w:val="afc"/>
        </w:rPr>
        <w:footnoteRef/>
      </w:r>
      <w:r w:rsidRPr="0017365A">
        <w:t xml:space="preserve"> </w:t>
      </w:r>
      <w:hyperlink r:id="rId2" w:history="1">
        <w:r w:rsidRPr="0017365A">
          <w:rPr>
            <w:rStyle w:val="ae"/>
          </w:rPr>
          <w:t>https://udn.com/news/story/7266/3726270</w:t>
        </w:r>
      </w:hyperlink>
      <w:r w:rsidRPr="0017365A">
        <w:rPr>
          <w:rStyle w:val="ae"/>
          <w:rFonts w:hint="eastAsia"/>
          <w:u w:val="none"/>
        </w:rPr>
        <w:t xml:space="preserve">   </w:t>
      </w:r>
      <w:r w:rsidRPr="0017365A">
        <w:rPr>
          <w:rFonts w:hint="eastAsia"/>
          <w:color w:val="0000FF"/>
        </w:rPr>
        <w:t>「塑膠袋垃圾危機 真正回收不到一成」</w:t>
      </w:r>
    </w:p>
  </w:footnote>
  <w:footnote w:id="11">
    <w:p w:rsidR="00230B77" w:rsidRPr="0017365A" w:rsidRDefault="00230B77" w:rsidP="00230B77">
      <w:pPr>
        <w:pStyle w:val="afa"/>
      </w:pPr>
      <w:r>
        <w:rPr>
          <w:rStyle w:val="afc"/>
        </w:rPr>
        <w:footnoteRef/>
      </w:r>
      <w:r>
        <w:t xml:space="preserve"> </w:t>
      </w:r>
      <w:hyperlink r:id="rId3" w:history="1">
        <w:r w:rsidRPr="00495B33">
          <w:rPr>
            <w:rStyle w:val="ae"/>
          </w:rPr>
          <w:t>https://udn.com/news/story/11311/3726209</w:t>
        </w:r>
      </w:hyperlink>
      <w:r w:rsidRPr="0017365A">
        <w:rPr>
          <w:rStyle w:val="ae"/>
          <w:rFonts w:hint="eastAsia"/>
          <w:u w:val="none"/>
        </w:rPr>
        <w:t xml:space="preserve">     </w:t>
      </w:r>
      <w:r w:rsidRPr="0017365A">
        <w:rPr>
          <w:rFonts w:hint="eastAsia"/>
          <w:color w:val="0000FF"/>
        </w:rPr>
        <w:t>「塑膠袋製造成本低 後端去化卻很貴」</w:t>
      </w:r>
    </w:p>
  </w:footnote>
  <w:footnote w:id="12">
    <w:p w:rsidR="00230B77" w:rsidRPr="009D09B8" w:rsidRDefault="00230B77" w:rsidP="00230B77">
      <w:pPr>
        <w:pStyle w:val="afa"/>
      </w:pPr>
      <w:r>
        <w:rPr>
          <w:rStyle w:val="afc"/>
        </w:rPr>
        <w:footnoteRef/>
      </w:r>
      <w:r>
        <w:t xml:space="preserve"> </w:t>
      </w:r>
      <w:hyperlink r:id="rId4" w:history="1">
        <w:r w:rsidRPr="00495B33">
          <w:rPr>
            <w:rStyle w:val="ae"/>
          </w:rPr>
          <w:t>https://udn.com/news/story/11311/3726209</w:t>
        </w:r>
      </w:hyperlink>
      <w:r w:rsidRPr="0017365A">
        <w:rPr>
          <w:rStyle w:val="ae"/>
          <w:rFonts w:hint="eastAsia"/>
          <w:u w:val="none"/>
        </w:rPr>
        <w:t xml:space="preserve">     </w:t>
      </w:r>
      <w:r w:rsidRPr="0017365A">
        <w:rPr>
          <w:rFonts w:hint="eastAsia"/>
          <w:color w:val="0000FF"/>
        </w:rPr>
        <w:t>「塑膠袋製造成本低 後端去化卻很貴」</w:t>
      </w:r>
    </w:p>
  </w:footnote>
  <w:footnote w:id="13">
    <w:p w:rsidR="00230B77" w:rsidRPr="009D09B8" w:rsidRDefault="00230B77" w:rsidP="00230B77">
      <w:pPr>
        <w:pStyle w:val="afa"/>
      </w:pPr>
      <w:r>
        <w:rPr>
          <w:rStyle w:val="afc"/>
        </w:rPr>
        <w:footnoteRef/>
      </w:r>
      <w:r>
        <w:t xml:space="preserve"> </w:t>
      </w:r>
      <w:hyperlink r:id="rId5" w:history="1">
        <w:r w:rsidRPr="00495B33">
          <w:rPr>
            <w:rStyle w:val="ae"/>
          </w:rPr>
          <w:t>https://udn.com/news/story/11311/3726209</w:t>
        </w:r>
      </w:hyperlink>
      <w:r w:rsidRPr="0017365A">
        <w:rPr>
          <w:rStyle w:val="ae"/>
          <w:rFonts w:hint="eastAsia"/>
          <w:u w:val="none"/>
        </w:rPr>
        <w:t xml:space="preserve">     </w:t>
      </w:r>
      <w:r w:rsidRPr="0017365A">
        <w:rPr>
          <w:rFonts w:hint="eastAsia"/>
          <w:color w:val="0000FF"/>
        </w:rPr>
        <w:t>「塑膠袋製造成本低 後端去化卻很貴」</w:t>
      </w:r>
    </w:p>
  </w:footnote>
  <w:footnote w:id="14">
    <w:p w:rsidR="00230B77" w:rsidRPr="00B331CC" w:rsidRDefault="00230B77" w:rsidP="00230B77">
      <w:pPr>
        <w:pStyle w:val="afa"/>
      </w:pPr>
      <w:r>
        <w:rPr>
          <w:rStyle w:val="afc"/>
        </w:rPr>
        <w:footnoteRef/>
      </w:r>
      <w:r>
        <w:t xml:space="preserve"> </w:t>
      </w:r>
      <w:r>
        <w:rPr>
          <w:rFonts w:hint="eastAsia"/>
        </w:rPr>
        <w:t>環保署107年7月12日環</w:t>
      </w:r>
      <w:proofErr w:type="gramStart"/>
      <w:r>
        <w:rPr>
          <w:rFonts w:hint="eastAsia"/>
        </w:rPr>
        <w:t>署廢字</w:t>
      </w:r>
      <w:proofErr w:type="gramEnd"/>
      <w:r>
        <w:rPr>
          <w:rFonts w:hint="eastAsia"/>
        </w:rPr>
        <w:t>第1070055055號函。</w:t>
      </w:r>
    </w:p>
  </w:footnote>
  <w:footnote w:id="15">
    <w:p w:rsidR="00E9115F" w:rsidRPr="00B73E2F" w:rsidRDefault="00E9115F" w:rsidP="00E9115F">
      <w:pPr>
        <w:pStyle w:val="afa"/>
      </w:pPr>
      <w:r>
        <w:rPr>
          <w:rStyle w:val="afc"/>
        </w:rPr>
        <w:footnoteRef/>
      </w:r>
      <w:r>
        <w:t xml:space="preserve"> </w:t>
      </w:r>
      <w:hyperlink r:id="rId6" w:history="1">
        <w:r w:rsidRPr="00495B33">
          <w:rPr>
            <w:rStyle w:val="ae"/>
          </w:rPr>
          <w:t>https://udn.com/news/story/7266/3726272</w:t>
        </w:r>
      </w:hyperlink>
      <w:r w:rsidRPr="00B73E2F">
        <w:rPr>
          <w:rStyle w:val="ae"/>
          <w:rFonts w:hint="eastAsia"/>
          <w:u w:val="none"/>
        </w:rPr>
        <w:t xml:space="preserve">     </w:t>
      </w:r>
      <w:r w:rsidRPr="006718CC">
        <w:rPr>
          <w:rFonts w:hint="eastAsia"/>
        </w:rPr>
        <w:t>「</w:t>
      </w:r>
      <w:proofErr w:type="gramStart"/>
      <w:r w:rsidRPr="00B73E2F">
        <w:rPr>
          <w:rFonts w:hint="eastAsia"/>
          <w:bCs/>
        </w:rPr>
        <w:t>環團</w:t>
      </w:r>
      <w:proofErr w:type="gramEnd"/>
      <w:r w:rsidRPr="00B73E2F">
        <w:rPr>
          <w:rFonts w:hint="eastAsia"/>
          <w:bCs/>
        </w:rPr>
        <w:t>：塑膠袋應從源頭</w:t>
      </w:r>
      <w:proofErr w:type="gramStart"/>
      <w:r w:rsidRPr="00B73E2F">
        <w:rPr>
          <w:rFonts w:hint="eastAsia"/>
          <w:bCs/>
        </w:rPr>
        <w:t>就課費</w:t>
      </w:r>
      <w:proofErr w:type="gramEnd"/>
      <w:r w:rsidRPr="006718CC">
        <w:rPr>
          <w:rFonts w:hint="eastAsia"/>
        </w:rPr>
        <w:t>」</w:t>
      </w:r>
    </w:p>
  </w:footnote>
  <w:footnote w:id="16">
    <w:p w:rsidR="00E9115F" w:rsidRPr="00B73E2F" w:rsidRDefault="00E9115F" w:rsidP="00E9115F">
      <w:pPr>
        <w:pStyle w:val="afa"/>
      </w:pPr>
      <w:r>
        <w:rPr>
          <w:rStyle w:val="afc"/>
        </w:rPr>
        <w:footnoteRef/>
      </w:r>
      <w:r>
        <w:t xml:space="preserve"> </w:t>
      </w:r>
      <w:hyperlink r:id="rId7" w:history="1">
        <w:r w:rsidRPr="00495B33">
          <w:rPr>
            <w:rStyle w:val="ae"/>
          </w:rPr>
          <w:t>https://udn.com/news/story/7266/3726272</w:t>
        </w:r>
      </w:hyperlink>
      <w:r w:rsidRPr="00B73E2F">
        <w:rPr>
          <w:rStyle w:val="ae"/>
          <w:rFonts w:hint="eastAsia"/>
          <w:u w:val="none"/>
        </w:rPr>
        <w:t xml:space="preserve">     </w:t>
      </w:r>
      <w:r w:rsidRPr="006718CC">
        <w:rPr>
          <w:rFonts w:hint="eastAsia"/>
        </w:rPr>
        <w:t>「</w:t>
      </w:r>
      <w:proofErr w:type="gramStart"/>
      <w:r w:rsidRPr="00B73E2F">
        <w:rPr>
          <w:rFonts w:hint="eastAsia"/>
          <w:bCs/>
        </w:rPr>
        <w:t>環團</w:t>
      </w:r>
      <w:proofErr w:type="gramEnd"/>
      <w:r w:rsidRPr="00B73E2F">
        <w:rPr>
          <w:rFonts w:hint="eastAsia"/>
          <w:bCs/>
        </w:rPr>
        <w:t>：塑膠袋應從源頭</w:t>
      </w:r>
      <w:proofErr w:type="gramStart"/>
      <w:r w:rsidRPr="00B73E2F">
        <w:rPr>
          <w:rFonts w:hint="eastAsia"/>
          <w:bCs/>
        </w:rPr>
        <w:t>就課費</w:t>
      </w:r>
      <w:proofErr w:type="gramEnd"/>
      <w:r w:rsidRPr="006718CC">
        <w:rPr>
          <w:rFonts w:hint="eastAsia"/>
        </w:rPr>
        <w:t>」</w:t>
      </w:r>
    </w:p>
  </w:footnote>
  <w:footnote w:id="17">
    <w:p w:rsidR="00230B77" w:rsidRPr="005C78F0" w:rsidRDefault="00230B77" w:rsidP="00230B77">
      <w:pPr>
        <w:pStyle w:val="afa"/>
      </w:pPr>
      <w:r>
        <w:rPr>
          <w:rStyle w:val="afc"/>
        </w:rPr>
        <w:footnoteRef/>
      </w:r>
      <w:r>
        <w:t xml:space="preserve"> </w:t>
      </w:r>
      <w:hyperlink r:id="rId8" w:history="1">
        <w:r w:rsidRPr="005C78F0">
          <w:rPr>
            <w:rStyle w:val="ae"/>
          </w:rPr>
          <w:t>https://udn.com/news/story/7266/3744794?from=udn-catebreaknews_ch2</w:t>
        </w:r>
      </w:hyperlink>
    </w:p>
  </w:footnote>
  <w:footnote w:id="18">
    <w:p w:rsidR="00230B77" w:rsidRPr="0006363D" w:rsidRDefault="00230B77" w:rsidP="00230B77">
      <w:pPr>
        <w:pStyle w:val="afa"/>
      </w:pPr>
      <w:r>
        <w:rPr>
          <w:rStyle w:val="afc"/>
        </w:rPr>
        <w:footnoteRef/>
      </w:r>
      <w:r>
        <w:t xml:space="preserve"> </w:t>
      </w:r>
      <w:hyperlink r:id="rId9" w:history="1">
        <w:r w:rsidRPr="00495B33">
          <w:rPr>
            <w:rStyle w:val="ae"/>
          </w:rPr>
          <w:t>https://udn.com/news/story/7266/3744794?from=udn-catebreaknews_ch2</w:t>
        </w:r>
      </w:hyperlink>
    </w:p>
  </w:footnote>
  <w:footnote w:id="19">
    <w:p w:rsidR="00230B77" w:rsidRPr="006540BA" w:rsidRDefault="00230B77" w:rsidP="00230B77">
      <w:pPr>
        <w:pStyle w:val="afa"/>
      </w:pPr>
      <w:r>
        <w:rPr>
          <w:rStyle w:val="afc"/>
        </w:rPr>
        <w:footnoteRef/>
      </w:r>
      <w:r>
        <w:t xml:space="preserve"> </w:t>
      </w:r>
      <w:r>
        <w:rPr>
          <w:rFonts w:hint="eastAsia"/>
        </w:rPr>
        <w:t>環保署詢問書面資料。</w:t>
      </w:r>
    </w:p>
  </w:footnote>
  <w:footnote w:id="20">
    <w:p w:rsidR="00230B77" w:rsidRPr="00450ED9" w:rsidRDefault="00230B77" w:rsidP="00230B77">
      <w:pPr>
        <w:pStyle w:val="afa"/>
      </w:pPr>
      <w:r>
        <w:rPr>
          <w:rStyle w:val="afc"/>
        </w:rPr>
        <w:footnoteRef/>
      </w:r>
      <w:r>
        <w:t xml:space="preserve"> </w:t>
      </w:r>
      <w:hyperlink r:id="rId10" w:history="1">
        <w:r w:rsidRPr="009B4037">
          <w:rPr>
            <w:rStyle w:val="ae"/>
          </w:rPr>
          <w:t>https://www.cw.com.tw/article/article.action?id=5092256</w:t>
        </w:r>
      </w:hyperlink>
      <w:r>
        <w:rPr>
          <w:rFonts w:hint="eastAsia"/>
        </w:rPr>
        <w:t xml:space="preserve">   </w:t>
      </w:r>
      <w:r>
        <w:rPr>
          <w:rFonts w:hAnsi="標楷體" w:hint="eastAsia"/>
        </w:rPr>
        <w:t>「</w:t>
      </w:r>
      <w:r w:rsidRPr="00450ED9">
        <w:rPr>
          <w:rFonts w:hAnsi="標楷體"/>
        </w:rPr>
        <w:t>獨家直擊：你辛苦做的分類回收，是一場騙局？</w:t>
      </w:r>
      <w:r>
        <w:rPr>
          <w:rFonts w:hAnsi="標楷體" w:hint="eastAsia"/>
        </w:rPr>
        <w:t>」</w:t>
      </w:r>
    </w:p>
  </w:footnote>
  <w:footnote w:id="21">
    <w:p w:rsidR="00230B77" w:rsidRPr="00451EE9" w:rsidRDefault="00230B77" w:rsidP="00230B77">
      <w:pPr>
        <w:pStyle w:val="afa"/>
        <w:wordWrap w:val="0"/>
      </w:pPr>
      <w:r>
        <w:rPr>
          <w:rStyle w:val="afc"/>
        </w:rPr>
        <w:footnoteRef/>
      </w:r>
      <w:r>
        <w:t xml:space="preserve"> </w:t>
      </w:r>
      <w:hyperlink r:id="rId11" w:history="1">
        <w:r w:rsidRPr="0055250D">
          <w:rPr>
            <w:rStyle w:val="ae"/>
          </w:rPr>
          <w:t>https://www.e-land.gov.tw/News_Content.aspx?n=770C4B84956BD13B&amp;s=B5DF9A54C28E926C</w:t>
        </w:r>
      </w:hyperlink>
    </w:p>
  </w:footnote>
  <w:footnote w:id="22">
    <w:p w:rsidR="00230B77" w:rsidRPr="00272019" w:rsidRDefault="00230B77" w:rsidP="00230B77">
      <w:pPr>
        <w:pStyle w:val="afa"/>
      </w:pPr>
      <w:r>
        <w:rPr>
          <w:rStyle w:val="afc"/>
        </w:rPr>
        <w:footnoteRef/>
      </w:r>
      <w:r>
        <w:t xml:space="preserve"> </w:t>
      </w:r>
      <w:hyperlink r:id="rId12" w:history="1">
        <w:r w:rsidRPr="002E1749">
          <w:rPr>
            <w:rStyle w:val="ae"/>
          </w:rPr>
          <w:t>https://tw.news.appledaily.com/new/realtime/20190424/1555961/</w:t>
        </w:r>
      </w:hyperlink>
      <w:r>
        <w:rPr>
          <w:rFonts w:hint="eastAsia"/>
        </w:rPr>
        <w:t xml:space="preserve">   </w:t>
      </w:r>
      <w:r>
        <w:rPr>
          <w:rFonts w:hAnsi="標楷體" w:hint="eastAsia"/>
        </w:rPr>
        <w:t>「</w:t>
      </w:r>
      <w:r w:rsidRPr="00272019">
        <w:rPr>
          <w:rFonts w:hAnsi="標楷體"/>
        </w:rPr>
        <w:t>扯！網友</w:t>
      </w:r>
      <w:proofErr w:type="gramStart"/>
      <w:r w:rsidRPr="00272019">
        <w:rPr>
          <w:rFonts w:hAnsi="標楷體"/>
        </w:rPr>
        <w:t>蒐證踢</w:t>
      </w:r>
      <w:proofErr w:type="gramEnd"/>
      <w:r w:rsidRPr="00272019">
        <w:rPr>
          <w:rFonts w:hAnsi="標楷體"/>
        </w:rPr>
        <w:t>爆　宜市清潔隊回收物全丟垃圾車</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063C28"/>
    <w:multiLevelType w:val="hybridMultilevel"/>
    <w:tmpl w:val="83FCE0D6"/>
    <w:lvl w:ilvl="0" w:tplc="8FF87E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E179E6"/>
    <w:multiLevelType w:val="multilevel"/>
    <w:tmpl w:val="BB624882"/>
    <w:lvl w:ilvl="0">
      <w:start w:val="1"/>
      <w:numFmt w:val="taiwaneseCountingThousand"/>
      <w:pStyle w:val="10"/>
      <w:lvlText w:val="%1、"/>
      <w:lvlJc w:val="left"/>
      <w:pPr>
        <w:ind w:left="482" w:hanging="480"/>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000000" w:themeColor="text1"/>
        <w:spacing w:val="0"/>
        <w:w w:val="100"/>
        <w:kern w:val="28"/>
        <w:position w:val="0"/>
        <w:sz w:val="32"/>
        <w:szCs w:val="32"/>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4C"/>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4DF2"/>
    <w:rsid w:val="00077553"/>
    <w:rsid w:val="00077A0B"/>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2DC4"/>
    <w:rsid w:val="002030A5"/>
    <w:rsid w:val="00203131"/>
    <w:rsid w:val="00212E88"/>
    <w:rsid w:val="00213C9C"/>
    <w:rsid w:val="0022009E"/>
    <w:rsid w:val="0022425C"/>
    <w:rsid w:val="002246DE"/>
    <w:rsid w:val="00230B7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167"/>
    <w:rsid w:val="003B6775"/>
    <w:rsid w:val="003C5FE2"/>
    <w:rsid w:val="003D05FB"/>
    <w:rsid w:val="003D1B16"/>
    <w:rsid w:val="003D45BF"/>
    <w:rsid w:val="003D508A"/>
    <w:rsid w:val="003D537F"/>
    <w:rsid w:val="003D7B75"/>
    <w:rsid w:val="003E0208"/>
    <w:rsid w:val="003E1A2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0A1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7ED8"/>
    <w:rsid w:val="00612023"/>
    <w:rsid w:val="00614190"/>
    <w:rsid w:val="00622A99"/>
    <w:rsid w:val="00622E67"/>
    <w:rsid w:val="00622FBF"/>
    <w:rsid w:val="00626EDC"/>
    <w:rsid w:val="00637F93"/>
    <w:rsid w:val="006470EC"/>
    <w:rsid w:val="0065598E"/>
    <w:rsid w:val="00655AF2"/>
    <w:rsid w:val="006568BE"/>
    <w:rsid w:val="0066025D"/>
    <w:rsid w:val="006773EC"/>
    <w:rsid w:val="00680504"/>
    <w:rsid w:val="00681CD9"/>
    <w:rsid w:val="00683E30"/>
    <w:rsid w:val="00687024"/>
    <w:rsid w:val="00696415"/>
    <w:rsid w:val="006A3F46"/>
    <w:rsid w:val="006D3691"/>
    <w:rsid w:val="006D7EE8"/>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7DA9"/>
    <w:rsid w:val="007666F5"/>
    <w:rsid w:val="0077309D"/>
    <w:rsid w:val="007774EE"/>
    <w:rsid w:val="00781822"/>
    <w:rsid w:val="00783F21"/>
    <w:rsid w:val="00787159"/>
    <w:rsid w:val="00791668"/>
    <w:rsid w:val="00791AA1"/>
    <w:rsid w:val="007A3793"/>
    <w:rsid w:val="007C1BA2"/>
    <w:rsid w:val="007C63E5"/>
    <w:rsid w:val="007D16AA"/>
    <w:rsid w:val="007D20E9"/>
    <w:rsid w:val="007D7881"/>
    <w:rsid w:val="007D7E3A"/>
    <w:rsid w:val="007E0E10"/>
    <w:rsid w:val="007E4768"/>
    <w:rsid w:val="007E5BDD"/>
    <w:rsid w:val="007E777B"/>
    <w:rsid w:val="007F2070"/>
    <w:rsid w:val="00800082"/>
    <w:rsid w:val="008053F5"/>
    <w:rsid w:val="00810198"/>
    <w:rsid w:val="00815DA8"/>
    <w:rsid w:val="0082194D"/>
    <w:rsid w:val="00826EF5"/>
    <w:rsid w:val="00831693"/>
    <w:rsid w:val="00840104"/>
    <w:rsid w:val="00841FC5"/>
    <w:rsid w:val="00845709"/>
    <w:rsid w:val="008576BD"/>
    <w:rsid w:val="00860463"/>
    <w:rsid w:val="008733DA"/>
    <w:rsid w:val="008850E4"/>
    <w:rsid w:val="008919FC"/>
    <w:rsid w:val="008A12F5"/>
    <w:rsid w:val="008A288A"/>
    <w:rsid w:val="008B1587"/>
    <w:rsid w:val="008B1B01"/>
    <w:rsid w:val="008B3BCD"/>
    <w:rsid w:val="008B4841"/>
    <w:rsid w:val="008B6DF8"/>
    <w:rsid w:val="008C106C"/>
    <w:rsid w:val="008C10F1"/>
    <w:rsid w:val="008C1E99"/>
    <w:rsid w:val="008E0085"/>
    <w:rsid w:val="008E2AA6"/>
    <w:rsid w:val="008E311B"/>
    <w:rsid w:val="008E4F0C"/>
    <w:rsid w:val="008F46E7"/>
    <w:rsid w:val="008F6F0B"/>
    <w:rsid w:val="00907BA7"/>
    <w:rsid w:val="0091064E"/>
    <w:rsid w:val="00911FC5"/>
    <w:rsid w:val="00925CD5"/>
    <w:rsid w:val="00931A10"/>
    <w:rsid w:val="00947967"/>
    <w:rsid w:val="00956622"/>
    <w:rsid w:val="00965200"/>
    <w:rsid w:val="009668B3"/>
    <w:rsid w:val="00971471"/>
    <w:rsid w:val="009849C2"/>
    <w:rsid w:val="00984D24"/>
    <w:rsid w:val="009858EB"/>
    <w:rsid w:val="009B0046"/>
    <w:rsid w:val="009B38F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698C"/>
    <w:rsid w:val="00A97B15"/>
    <w:rsid w:val="00AA42D5"/>
    <w:rsid w:val="00AB2FAB"/>
    <w:rsid w:val="00AB5C14"/>
    <w:rsid w:val="00AC1EE7"/>
    <w:rsid w:val="00AC333F"/>
    <w:rsid w:val="00AC4B5E"/>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B7F0C"/>
    <w:rsid w:val="00BC26D4"/>
    <w:rsid w:val="00BC64F2"/>
    <w:rsid w:val="00BD4303"/>
    <w:rsid w:val="00BD7D5D"/>
    <w:rsid w:val="00BF2A42"/>
    <w:rsid w:val="00C03D8C"/>
    <w:rsid w:val="00C03E81"/>
    <w:rsid w:val="00C055EC"/>
    <w:rsid w:val="00C10DC9"/>
    <w:rsid w:val="00C12FB3"/>
    <w:rsid w:val="00C17341"/>
    <w:rsid w:val="00C17F0B"/>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0CE7"/>
    <w:rsid w:val="00CC6297"/>
    <w:rsid w:val="00CC7690"/>
    <w:rsid w:val="00CD1986"/>
    <w:rsid w:val="00CE3429"/>
    <w:rsid w:val="00CE4D5C"/>
    <w:rsid w:val="00CF05DA"/>
    <w:rsid w:val="00CF58EB"/>
    <w:rsid w:val="00D0106E"/>
    <w:rsid w:val="00D06383"/>
    <w:rsid w:val="00D20E85"/>
    <w:rsid w:val="00D24615"/>
    <w:rsid w:val="00D27557"/>
    <w:rsid w:val="00D37842"/>
    <w:rsid w:val="00D42DC2"/>
    <w:rsid w:val="00D537E1"/>
    <w:rsid w:val="00D53940"/>
    <w:rsid w:val="00D55BB2"/>
    <w:rsid w:val="00D6091A"/>
    <w:rsid w:val="00D6695F"/>
    <w:rsid w:val="00D75644"/>
    <w:rsid w:val="00D8008E"/>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FDE"/>
    <w:rsid w:val="00DF6462"/>
    <w:rsid w:val="00E02FA0"/>
    <w:rsid w:val="00E036DC"/>
    <w:rsid w:val="00E10454"/>
    <w:rsid w:val="00E112E5"/>
    <w:rsid w:val="00E21CC7"/>
    <w:rsid w:val="00E246A0"/>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05D0"/>
    <w:rsid w:val="00E9115F"/>
    <w:rsid w:val="00E92FCB"/>
    <w:rsid w:val="00EA147F"/>
    <w:rsid w:val="00ED03AB"/>
    <w:rsid w:val="00ED0CAC"/>
    <w:rsid w:val="00ED1CD4"/>
    <w:rsid w:val="00ED1D2B"/>
    <w:rsid w:val="00ED5A8D"/>
    <w:rsid w:val="00ED64B5"/>
    <w:rsid w:val="00EE7CCA"/>
    <w:rsid w:val="00EF393E"/>
    <w:rsid w:val="00F16A14"/>
    <w:rsid w:val="00F231DC"/>
    <w:rsid w:val="00F362D7"/>
    <w:rsid w:val="00F37D7B"/>
    <w:rsid w:val="00F5314C"/>
    <w:rsid w:val="00F635DD"/>
    <w:rsid w:val="00F6627B"/>
    <w:rsid w:val="00F734F2"/>
    <w:rsid w:val="00F75052"/>
    <w:rsid w:val="00F77295"/>
    <w:rsid w:val="00F804D3"/>
    <w:rsid w:val="00F81CD2"/>
    <w:rsid w:val="00F82641"/>
    <w:rsid w:val="00F90F18"/>
    <w:rsid w:val="00F937E4"/>
    <w:rsid w:val="00F95EE7"/>
    <w:rsid w:val="00FA39E6"/>
    <w:rsid w:val="00FA7BC9"/>
    <w:rsid w:val="00FB378E"/>
    <w:rsid w:val="00FB37F1"/>
    <w:rsid w:val="00FB47C0"/>
    <w:rsid w:val="00FB501B"/>
    <w:rsid w:val="00FB7770"/>
    <w:rsid w:val="00FC1BF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C67483-288D-434B-B3C4-1F99D143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footnote text,Geneva 9,Font: Geneva 9,Boston 10,f,DNV-FT"/>
    <w:basedOn w:val="a6"/>
    <w:link w:val="afb"/>
    <w:uiPriority w:val="99"/>
    <w:unhideWhenUsed/>
    <w:qFormat/>
    <w:rsid w:val="00BB7F0C"/>
    <w:pPr>
      <w:snapToGrid w:val="0"/>
      <w:jc w:val="left"/>
    </w:pPr>
    <w:rPr>
      <w:sz w:val="20"/>
    </w:rPr>
  </w:style>
  <w:style w:type="character" w:customStyle="1" w:styleId="afb">
    <w:name w:val="註腳文字 字元"/>
    <w:aliases w:val="fn 字元,footnote text 字元,Geneva 9 字元,Font: Geneva 9 字元,Boston 10 字元,f 字元,DNV-FT 字元"/>
    <w:basedOn w:val="a7"/>
    <w:link w:val="afa"/>
    <w:uiPriority w:val="99"/>
    <w:rsid w:val="00BB7F0C"/>
    <w:rPr>
      <w:rFonts w:ascii="標楷體" w:eastAsia="標楷體"/>
      <w:kern w:val="2"/>
    </w:rPr>
  </w:style>
  <w:style w:type="character" w:styleId="afc">
    <w:name w:val="footnote reference"/>
    <w:aliases w:val="16 Point,Superscript 6 Point"/>
    <w:basedOn w:val="a7"/>
    <w:uiPriority w:val="99"/>
    <w:unhideWhenUsed/>
    <w:rsid w:val="00BB7F0C"/>
    <w:rPr>
      <w:vertAlign w:val="superscript"/>
    </w:rPr>
  </w:style>
  <w:style w:type="paragraph" w:customStyle="1" w:styleId="10">
    <w:name w:val="標題1"/>
    <w:basedOn w:val="a6"/>
    <w:qFormat/>
    <w:rsid w:val="00230B77"/>
    <w:pPr>
      <w:numPr>
        <w:numId w:val="35"/>
      </w:numPr>
      <w:outlineLvl w:val="0"/>
    </w:pPr>
    <w:rPr>
      <w:kern w:val="28"/>
      <w:szCs w:val="24"/>
    </w:rPr>
  </w:style>
  <w:style w:type="paragraph" w:customStyle="1" w:styleId="30">
    <w:name w:val="標題3"/>
    <w:basedOn w:val="a6"/>
    <w:qFormat/>
    <w:rsid w:val="00230B77"/>
    <w:pPr>
      <w:numPr>
        <w:ilvl w:val="2"/>
        <w:numId w:val="35"/>
      </w:numPr>
      <w:outlineLvl w:val="2"/>
    </w:pPr>
    <w:rPr>
      <w:kern w:val="28"/>
      <w:sz w:val="28"/>
      <w:szCs w:val="24"/>
    </w:rPr>
  </w:style>
  <w:style w:type="paragraph" w:customStyle="1" w:styleId="50">
    <w:name w:val="標題5"/>
    <w:basedOn w:val="a6"/>
    <w:qFormat/>
    <w:rsid w:val="00230B77"/>
    <w:pPr>
      <w:numPr>
        <w:ilvl w:val="4"/>
        <w:numId w:val="35"/>
      </w:numPr>
      <w:outlineLvl w:val="4"/>
    </w:pPr>
    <w:rPr>
      <w:kern w:val="28"/>
      <w:sz w:val="28"/>
      <w:szCs w:val="24"/>
    </w:rPr>
  </w:style>
  <w:style w:type="table" w:customStyle="1" w:styleId="22">
    <w:name w:val="表格格線2"/>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dn.com/search/tagging/2/&#37327;&#36009;&#24215;"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udn.com/search/tagging/2/&#27472;&#3043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dn.com/search/tagging/2/&#38480;&#22609;" TargetMode="External"/><Relationship Id="rId4" Type="http://schemas.openxmlformats.org/officeDocument/2006/relationships/styles" Target="styles.xml"/><Relationship Id="rId9" Type="http://schemas.openxmlformats.org/officeDocument/2006/relationships/hyperlink" Target="https://law.moj.gov.tw/LawClass/LawAll.aspx?pcode=O005002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dn.com/news/story/7266/3744794?from=udn-catebreaknews_ch2" TargetMode="External"/><Relationship Id="rId3" Type="http://schemas.openxmlformats.org/officeDocument/2006/relationships/hyperlink" Target="https://udn.com/news/story/11311/3726209" TargetMode="External"/><Relationship Id="rId7" Type="http://schemas.openxmlformats.org/officeDocument/2006/relationships/hyperlink" Target="https://udn.com/news/story/7266/3726272" TargetMode="External"/><Relationship Id="rId12" Type="http://schemas.openxmlformats.org/officeDocument/2006/relationships/hyperlink" Target="https://tw.news.appledaily.com/new/realtime/20190424/1555961/" TargetMode="External"/><Relationship Id="rId2" Type="http://schemas.openxmlformats.org/officeDocument/2006/relationships/hyperlink" Target="https://udn.com/news/story/7266/3726270" TargetMode="External"/><Relationship Id="rId1" Type="http://schemas.openxmlformats.org/officeDocument/2006/relationships/hyperlink" Target="https://udn.com/news/story/7266/3726270" TargetMode="External"/><Relationship Id="rId6" Type="http://schemas.openxmlformats.org/officeDocument/2006/relationships/hyperlink" Target="https://udn.com/news/story/7266/3726272" TargetMode="External"/><Relationship Id="rId11" Type="http://schemas.openxmlformats.org/officeDocument/2006/relationships/hyperlink" Target="https://www.e-land.gov.tw/News_Content.aspx?n=770C4B84956BD13B&amp;s=B5DF9A54C28E926C" TargetMode="External"/><Relationship Id="rId5" Type="http://schemas.openxmlformats.org/officeDocument/2006/relationships/hyperlink" Target="https://udn.com/news/story/11311/3726209" TargetMode="External"/><Relationship Id="rId10" Type="http://schemas.openxmlformats.org/officeDocument/2006/relationships/hyperlink" Target="https://www.cw.com.tw/article/article.action?id=5092256" TargetMode="External"/><Relationship Id="rId4" Type="http://schemas.openxmlformats.org/officeDocument/2006/relationships/hyperlink" Target="https://udn.com/news/story/11311/3726209" TargetMode="External"/><Relationship Id="rId9" Type="http://schemas.openxmlformats.org/officeDocument/2006/relationships/hyperlink" Target="https://udn.com/news/story/7266/3744794?from=udn-catebreaknews_ch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A4E7-9D46-40A0-9680-793F5E20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18</Pages>
  <Words>2452</Words>
  <Characters>9371</Characters>
  <Application>Microsoft Office Word</Application>
  <DocSecurity>0</DocSecurity>
  <Lines>1561</Lines>
  <Paragraphs>1477</Paragraphs>
  <ScaleCrop>false</ScaleCrop>
  <Company>cy</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周慶安</cp:lastModifiedBy>
  <cp:revision>5</cp:revision>
  <cp:lastPrinted>2019-05-03T09:11:00Z</cp:lastPrinted>
  <dcterms:created xsi:type="dcterms:W3CDTF">2019-05-09T02:54:00Z</dcterms:created>
  <dcterms:modified xsi:type="dcterms:W3CDTF">2019-05-13T01:34:00Z</dcterms:modified>
</cp:coreProperties>
</file>